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32" w:rsidRPr="008639A5" w:rsidRDefault="009A1132" w:rsidP="009A1132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8639A5">
        <w:rPr>
          <w:rFonts w:ascii="Arial" w:hAnsi="Arial" w:cs="Arial"/>
          <w:sz w:val="22"/>
          <w:szCs w:val="22"/>
          <w:lang w:val="id-ID"/>
        </w:rPr>
        <w:t>Alokasi anggaran Dinas Kesehatan Provinsi Sumatera Barat dari  Tahun 2011 -201</w:t>
      </w:r>
      <w:r w:rsidR="00DD04FB" w:rsidRPr="008639A5">
        <w:rPr>
          <w:rFonts w:ascii="Arial" w:hAnsi="Arial" w:cs="Arial"/>
          <w:sz w:val="22"/>
          <w:szCs w:val="22"/>
          <w:lang w:val="id-ID"/>
        </w:rPr>
        <w:t>5</w:t>
      </w:r>
      <w:r w:rsidRPr="008639A5">
        <w:rPr>
          <w:rFonts w:ascii="Arial" w:hAnsi="Arial" w:cs="Arial"/>
          <w:sz w:val="22"/>
          <w:szCs w:val="22"/>
          <w:lang w:val="id-ID"/>
        </w:rPr>
        <w:t xml:space="preserve"> terus meningkat, hal ini disebabkan karena adanya penambahan anggaran pelayanan kes</w:t>
      </w:r>
      <w:r w:rsidR="00005CCE">
        <w:rPr>
          <w:rFonts w:ascii="Arial" w:hAnsi="Arial" w:cs="Arial"/>
          <w:sz w:val="22"/>
          <w:szCs w:val="22"/>
          <w:lang w:val="id-ID"/>
        </w:rPr>
        <w:t>ehatan bagi masyarakat miskin (</w:t>
      </w:r>
      <w:r w:rsidR="00005CCE">
        <w:rPr>
          <w:rFonts w:ascii="Arial" w:hAnsi="Arial" w:cs="Arial"/>
          <w:sz w:val="22"/>
          <w:szCs w:val="22"/>
        </w:rPr>
        <w:t>Program JKSS</w:t>
      </w:r>
      <w:r w:rsidRPr="008639A5">
        <w:rPr>
          <w:rFonts w:ascii="Arial" w:hAnsi="Arial" w:cs="Arial"/>
          <w:sz w:val="22"/>
          <w:szCs w:val="22"/>
          <w:lang w:val="id-ID"/>
        </w:rPr>
        <w:t xml:space="preserve">). </w:t>
      </w:r>
    </w:p>
    <w:p w:rsidR="009A1132" w:rsidRPr="008639A5" w:rsidRDefault="009A1132" w:rsidP="009A1132">
      <w:pPr>
        <w:spacing w:line="288" w:lineRule="auto"/>
        <w:rPr>
          <w:rFonts w:ascii="Arial" w:hAnsi="Arial" w:cs="Arial"/>
          <w:b/>
          <w:sz w:val="22"/>
          <w:szCs w:val="22"/>
          <w:lang w:val="id-ID"/>
        </w:rPr>
      </w:pPr>
      <w:r w:rsidRPr="008639A5">
        <w:rPr>
          <w:rFonts w:ascii="Arial" w:hAnsi="Arial" w:cs="Arial"/>
          <w:sz w:val="22"/>
          <w:szCs w:val="22"/>
          <w:lang w:val="id-ID"/>
        </w:rPr>
        <w:t xml:space="preserve">         </w:t>
      </w:r>
      <w:r w:rsidRPr="008639A5">
        <w:rPr>
          <w:rFonts w:ascii="Arial" w:hAnsi="Arial" w:cs="Arial"/>
          <w:b/>
          <w:sz w:val="22"/>
          <w:szCs w:val="22"/>
          <w:lang w:val="id-ID"/>
        </w:rPr>
        <w:t xml:space="preserve">  Grafik 2.1</w:t>
      </w:r>
      <w:r w:rsidR="00E15FD5" w:rsidRPr="008639A5">
        <w:rPr>
          <w:rFonts w:ascii="Arial" w:hAnsi="Arial" w:cs="Arial"/>
          <w:b/>
          <w:sz w:val="22"/>
          <w:szCs w:val="22"/>
          <w:lang w:val="id-ID"/>
        </w:rPr>
        <w:t>7</w:t>
      </w:r>
      <w:r w:rsidRPr="008639A5">
        <w:rPr>
          <w:rFonts w:ascii="Arial" w:hAnsi="Arial" w:cs="Arial"/>
          <w:b/>
          <w:sz w:val="22"/>
          <w:szCs w:val="22"/>
          <w:lang w:val="id-ID"/>
        </w:rPr>
        <w:t>.  Anggaran dan  Penyerapan APBD Tahun 2011-201</w:t>
      </w:r>
      <w:r w:rsidR="00820D47" w:rsidRPr="008639A5">
        <w:rPr>
          <w:rFonts w:ascii="Arial" w:hAnsi="Arial" w:cs="Arial"/>
          <w:b/>
          <w:sz w:val="22"/>
          <w:szCs w:val="22"/>
          <w:lang w:val="id-ID"/>
        </w:rPr>
        <w:t>5</w:t>
      </w:r>
    </w:p>
    <w:p w:rsidR="009A1132" w:rsidRPr="008639A5" w:rsidRDefault="00842FD9" w:rsidP="009A1132">
      <w:pPr>
        <w:spacing w:line="288" w:lineRule="auto"/>
        <w:jc w:val="center"/>
        <w:rPr>
          <w:rFonts w:ascii="Arial" w:hAnsi="Arial" w:cs="Arial"/>
          <w:sz w:val="22"/>
          <w:szCs w:val="22"/>
          <w:lang w:val="id-ID"/>
        </w:rPr>
      </w:pPr>
      <w:r w:rsidRPr="008639A5">
        <w:rPr>
          <w:rFonts w:ascii="Arial" w:hAnsi="Arial" w:cs="Arial"/>
          <w:noProof/>
          <w:szCs w:val="22"/>
        </w:rPr>
        <w:drawing>
          <wp:inline distT="0" distB="0" distL="0" distR="0">
            <wp:extent cx="5029200" cy="2773680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AE" w:rsidRPr="008639A5" w:rsidRDefault="00E73AAE" w:rsidP="00E22CBE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E73AAE" w:rsidRPr="008639A5" w:rsidRDefault="00E73AAE" w:rsidP="00E73AAE">
      <w:pPr>
        <w:pStyle w:val="ListParagraph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A1132" w:rsidRPr="008639A5" w:rsidRDefault="009A1132" w:rsidP="00E73AAE">
      <w:pPr>
        <w:pStyle w:val="ListParagraph"/>
        <w:numPr>
          <w:ilvl w:val="1"/>
          <w:numId w:val="7"/>
        </w:numPr>
        <w:spacing w:line="360" w:lineRule="auto"/>
        <w:ind w:left="709" w:hanging="70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639A5">
        <w:rPr>
          <w:rFonts w:ascii="Arial" w:hAnsi="Arial" w:cs="Arial"/>
          <w:b/>
          <w:bCs/>
          <w:sz w:val="22"/>
          <w:szCs w:val="22"/>
          <w:lang w:val="sv-SE"/>
        </w:rPr>
        <w:t>Tantangan dan Peluang Pengembangan Pelayanan SKPD</w:t>
      </w:r>
    </w:p>
    <w:p w:rsidR="009A1132" w:rsidRPr="008639A5" w:rsidRDefault="009A1132" w:rsidP="009A1132">
      <w:pPr>
        <w:snapToGrid w:val="0"/>
        <w:spacing w:before="120" w:after="120" w:line="360" w:lineRule="auto"/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639A5">
        <w:rPr>
          <w:rFonts w:ascii="Arial" w:hAnsi="Arial" w:cs="Arial"/>
          <w:b/>
          <w:sz w:val="22"/>
          <w:szCs w:val="22"/>
        </w:rPr>
        <w:t>2.</w:t>
      </w:r>
      <w:r w:rsidR="00E73AAE" w:rsidRPr="008639A5">
        <w:rPr>
          <w:rFonts w:ascii="Arial" w:hAnsi="Arial" w:cs="Arial"/>
          <w:b/>
          <w:sz w:val="22"/>
          <w:szCs w:val="22"/>
          <w:lang w:val="id-ID"/>
        </w:rPr>
        <w:t>5</w:t>
      </w:r>
      <w:r w:rsidRPr="008639A5">
        <w:rPr>
          <w:rFonts w:ascii="Arial" w:hAnsi="Arial" w:cs="Arial"/>
          <w:b/>
          <w:sz w:val="22"/>
          <w:szCs w:val="22"/>
        </w:rPr>
        <w:t>.1</w:t>
      </w:r>
      <w:r w:rsidRPr="008639A5">
        <w:rPr>
          <w:rFonts w:ascii="Arial" w:hAnsi="Arial" w:cs="Arial"/>
          <w:b/>
          <w:sz w:val="22"/>
          <w:szCs w:val="22"/>
        </w:rPr>
        <w:tab/>
        <w:t>R</w:t>
      </w:r>
      <w:r w:rsidR="00CF2C47" w:rsidRPr="008639A5">
        <w:rPr>
          <w:rFonts w:ascii="Arial" w:hAnsi="Arial" w:cs="Arial"/>
          <w:b/>
          <w:sz w:val="22"/>
          <w:szCs w:val="22"/>
          <w:lang w:val="id-ID"/>
        </w:rPr>
        <w:t>enstra K/L dan Renstra O</w:t>
      </w:r>
      <w:r w:rsidRPr="008639A5">
        <w:rPr>
          <w:rFonts w:ascii="Arial" w:hAnsi="Arial" w:cs="Arial"/>
          <w:b/>
          <w:sz w:val="22"/>
          <w:szCs w:val="22"/>
          <w:lang w:val="id-ID"/>
        </w:rPr>
        <w:t xml:space="preserve">PD </w:t>
      </w:r>
      <w:r w:rsidRPr="008639A5">
        <w:rPr>
          <w:rFonts w:ascii="Arial" w:hAnsi="Arial" w:cs="Arial"/>
          <w:b/>
          <w:sz w:val="22"/>
          <w:szCs w:val="22"/>
        </w:rPr>
        <w:t>kabupaten/kota</w:t>
      </w:r>
      <w:r w:rsidR="00CF2C47" w:rsidRPr="008639A5">
        <w:rPr>
          <w:rFonts w:ascii="Arial" w:hAnsi="Arial" w:cs="Arial"/>
          <w:b/>
          <w:sz w:val="22"/>
          <w:szCs w:val="22"/>
          <w:lang w:val="id-ID"/>
        </w:rPr>
        <w:t xml:space="preserve"> (untuk provinsi) dan Renstra O</w:t>
      </w:r>
      <w:r w:rsidRPr="008639A5">
        <w:rPr>
          <w:rFonts w:ascii="Arial" w:hAnsi="Arial" w:cs="Arial"/>
          <w:b/>
          <w:sz w:val="22"/>
          <w:szCs w:val="22"/>
          <w:lang w:val="id-ID"/>
        </w:rPr>
        <w:t>PD provinsi</w:t>
      </w:r>
      <w:r w:rsidR="00CE3353">
        <w:rPr>
          <w:rFonts w:ascii="Arial" w:hAnsi="Arial" w:cs="Arial"/>
          <w:b/>
          <w:sz w:val="22"/>
          <w:szCs w:val="22"/>
        </w:rPr>
        <w:t xml:space="preserve"> </w:t>
      </w:r>
      <w:r w:rsidRPr="008639A5">
        <w:rPr>
          <w:rFonts w:ascii="Arial" w:hAnsi="Arial" w:cs="Arial"/>
          <w:b/>
          <w:sz w:val="22"/>
          <w:szCs w:val="22"/>
          <w:lang w:val="id-ID"/>
        </w:rPr>
        <w:t xml:space="preserve">(untuk </w:t>
      </w:r>
      <w:r w:rsidRPr="008639A5">
        <w:rPr>
          <w:rFonts w:ascii="Arial" w:hAnsi="Arial" w:cs="Arial"/>
          <w:b/>
          <w:sz w:val="22"/>
          <w:szCs w:val="22"/>
        </w:rPr>
        <w:t>kabupaten/kota</w:t>
      </w:r>
      <w:r w:rsidRPr="008639A5">
        <w:rPr>
          <w:rFonts w:ascii="Arial" w:hAnsi="Arial" w:cs="Arial"/>
          <w:b/>
          <w:sz w:val="22"/>
          <w:szCs w:val="22"/>
          <w:lang w:val="id-ID"/>
        </w:rPr>
        <w:t>)</w:t>
      </w:r>
    </w:p>
    <w:p w:rsidR="009A1132" w:rsidRPr="00DD3DA1" w:rsidRDefault="009A1132" w:rsidP="009A1132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9A5">
        <w:rPr>
          <w:rFonts w:ascii="Arial" w:hAnsi="Arial" w:cs="Arial"/>
          <w:sz w:val="22"/>
          <w:szCs w:val="22"/>
          <w:lang w:val="id-ID"/>
        </w:rPr>
        <w:t>Komparasi capaian Renstra Dinas Kesehatan Provinsi  dengan Dinas Kesehatan Kabupaten/kota dapat dijelaskan dalam tabel 2.1</w:t>
      </w:r>
      <w:r w:rsidR="00F752FB" w:rsidRPr="008639A5">
        <w:rPr>
          <w:rFonts w:ascii="Arial" w:hAnsi="Arial" w:cs="Arial"/>
          <w:sz w:val="22"/>
          <w:szCs w:val="22"/>
          <w:lang w:val="id-ID"/>
        </w:rPr>
        <w:t>5</w:t>
      </w:r>
      <w:r w:rsidRPr="008639A5">
        <w:rPr>
          <w:rFonts w:ascii="Arial" w:hAnsi="Arial" w:cs="Arial"/>
          <w:sz w:val="22"/>
          <w:szCs w:val="22"/>
          <w:lang w:val="id-ID"/>
        </w:rPr>
        <w:t>. Capaian Renstra Kabupaten/Kota tidak bisa ditayangkan karena apa yang dihasilkan Dinas Kesehatan Provinsi adalah merupakan capaian rata-rata atau total dari Dinas Kesehatan Kabupaten/Kota. Sedangkan untuk Renstra Kementrian Kesehatan tidak semua bisa sama dengan indikator Dinas Kesehatan Provinsi. Beberapa</w:t>
      </w:r>
      <w:r w:rsidR="00DD3DA1">
        <w:rPr>
          <w:rFonts w:ascii="Arial" w:hAnsi="Arial" w:cs="Arial"/>
          <w:sz w:val="22"/>
          <w:szCs w:val="22"/>
          <w:lang w:val="id-ID"/>
        </w:rPr>
        <w:t xml:space="preserve"> indikator adalah indikator spe</w:t>
      </w:r>
      <w:r w:rsidR="00DD3DA1">
        <w:rPr>
          <w:rFonts w:ascii="Arial" w:hAnsi="Arial" w:cs="Arial"/>
          <w:sz w:val="22"/>
          <w:szCs w:val="22"/>
        </w:rPr>
        <w:t>s</w:t>
      </w:r>
      <w:r w:rsidRPr="008639A5">
        <w:rPr>
          <w:rFonts w:ascii="Arial" w:hAnsi="Arial" w:cs="Arial"/>
          <w:sz w:val="22"/>
          <w:szCs w:val="22"/>
          <w:lang w:val="id-ID"/>
        </w:rPr>
        <w:t>ifik daerah Sumatera Barat</w:t>
      </w:r>
      <w:r w:rsidR="00DD3DA1">
        <w:rPr>
          <w:rFonts w:ascii="Arial" w:hAnsi="Arial" w:cs="Arial"/>
          <w:sz w:val="22"/>
          <w:szCs w:val="22"/>
        </w:rPr>
        <w:t>.</w:t>
      </w:r>
    </w:p>
    <w:p w:rsidR="009A1132" w:rsidRPr="008639A5" w:rsidRDefault="009A1132" w:rsidP="009A1132">
      <w:pPr>
        <w:snapToGrid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9A1132" w:rsidRPr="008639A5" w:rsidRDefault="009A1132" w:rsidP="009A1132">
      <w:pPr>
        <w:snapToGrid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9A1132" w:rsidRPr="008639A5" w:rsidRDefault="005F2D51" w:rsidP="005F2D51">
      <w:pPr>
        <w:tabs>
          <w:tab w:val="left" w:pos="1200"/>
        </w:tabs>
        <w:snapToGrid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9A1132" w:rsidRPr="008639A5" w:rsidRDefault="009A1132" w:rsidP="009A1132">
      <w:pPr>
        <w:snapToGrid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9A1132" w:rsidRPr="008639A5" w:rsidRDefault="009A1132" w:rsidP="009A1132">
      <w:pPr>
        <w:snapToGrid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9A1132" w:rsidRPr="008639A5" w:rsidRDefault="009A1132" w:rsidP="009A1132">
      <w:pPr>
        <w:snapToGrid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9A1132" w:rsidRPr="008639A5" w:rsidRDefault="009A1132" w:rsidP="009A1132">
      <w:pPr>
        <w:snapToGrid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9A1132" w:rsidRPr="008639A5" w:rsidRDefault="009A1132" w:rsidP="00B36812">
      <w:pPr>
        <w:tabs>
          <w:tab w:val="left" w:pos="2280"/>
        </w:tabs>
        <w:snapToGrid w:val="0"/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8639A5">
        <w:rPr>
          <w:rFonts w:ascii="Arial" w:hAnsi="Arial" w:cs="Arial"/>
          <w:b/>
          <w:sz w:val="22"/>
          <w:szCs w:val="22"/>
          <w:lang w:val="id-ID"/>
        </w:rPr>
        <w:lastRenderedPageBreak/>
        <w:t>Tabel 2.1</w:t>
      </w:r>
      <w:r w:rsidR="001E1A28" w:rsidRPr="008639A5">
        <w:rPr>
          <w:rFonts w:ascii="Arial" w:hAnsi="Arial" w:cs="Arial"/>
          <w:b/>
          <w:sz w:val="22"/>
          <w:szCs w:val="22"/>
          <w:lang w:val="id-ID"/>
        </w:rPr>
        <w:t>5</w:t>
      </w:r>
      <w:r w:rsidRPr="008639A5">
        <w:rPr>
          <w:rFonts w:ascii="Arial" w:hAnsi="Arial" w:cs="Arial"/>
          <w:b/>
          <w:sz w:val="22"/>
          <w:szCs w:val="22"/>
          <w:lang w:val="id-ID"/>
        </w:rPr>
        <w:t>.</w:t>
      </w:r>
    </w:p>
    <w:p w:rsidR="009A1132" w:rsidRPr="008639A5" w:rsidRDefault="009A1132" w:rsidP="009A1132">
      <w:pPr>
        <w:snapToGrid w:val="0"/>
        <w:ind w:left="720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8639A5">
        <w:rPr>
          <w:rFonts w:ascii="Arial" w:hAnsi="Arial" w:cs="Arial"/>
          <w:b/>
          <w:sz w:val="22"/>
          <w:szCs w:val="22"/>
          <w:lang w:val="id-ID"/>
        </w:rPr>
        <w:t>Komp</w:t>
      </w:r>
      <w:r w:rsidR="00CF2C47" w:rsidRPr="008639A5">
        <w:rPr>
          <w:rFonts w:ascii="Arial" w:hAnsi="Arial" w:cs="Arial"/>
          <w:b/>
          <w:sz w:val="22"/>
          <w:szCs w:val="22"/>
          <w:lang w:val="id-ID"/>
        </w:rPr>
        <w:t>arasi Capaian Sasaran Renstra O</w:t>
      </w:r>
      <w:r w:rsidRPr="008639A5">
        <w:rPr>
          <w:rFonts w:ascii="Arial" w:hAnsi="Arial" w:cs="Arial"/>
          <w:b/>
          <w:sz w:val="22"/>
          <w:szCs w:val="22"/>
          <w:lang w:val="id-ID"/>
        </w:rPr>
        <w:t xml:space="preserve">PD Kabupaten/kota </w:t>
      </w:r>
    </w:p>
    <w:p w:rsidR="009A1132" w:rsidRPr="008639A5" w:rsidRDefault="00CF2C47" w:rsidP="009A1132">
      <w:pPr>
        <w:snapToGrid w:val="0"/>
        <w:ind w:left="720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8639A5">
        <w:rPr>
          <w:rFonts w:ascii="Arial" w:hAnsi="Arial" w:cs="Arial"/>
          <w:b/>
          <w:sz w:val="22"/>
          <w:szCs w:val="22"/>
          <w:lang w:val="id-ID"/>
        </w:rPr>
        <w:t>terhadap Sasaran Renstra O</w:t>
      </w:r>
      <w:r w:rsidR="009A1132" w:rsidRPr="008639A5">
        <w:rPr>
          <w:rFonts w:ascii="Arial" w:hAnsi="Arial" w:cs="Arial"/>
          <w:b/>
          <w:sz w:val="22"/>
          <w:szCs w:val="22"/>
          <w:lang w:val="id-ID"/>
        </w:rPr>
        <w:t>PD Provinsi dan Renstra K/L</w:t>
      </w:r>
    </w:p>
    <w:p w:rsidR="009F3315" w:rsidRPr="008639A5" w:rsidRDefault="009F3315" w:rsidP="009A1132">
      <w:pPr>
        <w:snapToGrid w:val="0"/>
        <w:ind w:left="720"/>
        <w:jc w:val="center"/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2070"/>
        <w:gridCol w:w="2158"/>
        <w:gridCol w:w="2340"/>
        <w:gridCol w:w="2158"/>
      </w:tblGrid>
      <w:tr w:rsidR="009A1132" w:rsidRPr="008639A5" w:rsidTr="008F0377">
        <w:trPr>
          <w:tblHeader/>
        </w:trPr>
        <w:tc>
          <w:tcPr>
            <w:tcW w:w="634" w:type="dxa"/>
            <w:vAlign w:val="center"/>
          </w:tcPr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lang w:val="id-ID"/>
              </w:rPr>
            </w:pPr>
            <w:r w:rsidRPr="008639A5">
              <w:rPr>
                <w:rFonts w:ascii="Arial" w:hAnsi="Arial" w:cs="Arial"/>
                <w:b/>
                <w:caps/>
                <w:sz w:val="20"/>
                <w:szCs w:val="22"/>
                <w:lang w:val="id-ID"/>
              </w:rPr>
              <w:t>No</w:t>
            </w:r>
          </w:p>
        </w:tc>
        <w:tc>
          <w:tcPr>
            <w:tcW w:w="2070" w:type="dxa"/>
            <w:vAlign w:val="center"/>
          </w:tcPr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lang w:val="id-ID"/>
              </w:rPr>
            </w:pPr>
            <w:r w:rsidRPr="008639A5">
              <w:rPr>
                <w:rFonts w:ascii="Arial" w:hAnsi="Arial" w:cs="Arial"/>
                <w:b/>
                <w:caps/>
                <w:sz w:val="20"/>
                <w:szCs w:val="22"/>
                <w:lang w:val="id-ID"/>
              </w:rPr>
              <w:t>Indikator Kinerja</w:t>
            </w:r>
          </w:p>
        </w:tc>
        <w:tc>
          <w:tcPr>
            <w:tcW w:w="2158" w:type="dxa"/>
            <w:vAlign w:val="center"/>
          </w:tcPr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lang w:val="id-ID"/>
              </w:rPr>
            </w:pPr>
            <w:r w:rsidRPr="008639A5">
              <w:rPr>
                <w:rFonts w:ascii="Arial" w:hAnsi="Arial" w:cs="Arial"/>
                <w:b/>
                <w:caps/>
                <w:sz w:val="20"/>
                <w:szCs w:val="22"/>
                <w:lang w:val="id-ID"/>
              </w:rPr>
              <w:t xml:space="preserve">Capaian </w:t>
            </w:r>
            <w:r w:rsidR="00CF2C47" w:rsidRPr="008639A5">
              <w:rPr>
                <w:rFonts w:ascii="Arial" w:hAnsi="Arial" w:cs="Arial"/>
                <w:b/>
                <w:caps/>
                <w:sz w:val="20"/>
                <w:szCs w:val="22"/>
                <w:lang w:val="id-ID"/>
              </w:rPr>
              <w:t>Sasaran Renstra O</w:t>
            </w:r>
            <w:r w:rsidRPr="008639A5">
              <w:rPr>
                <w:rFonts w:ascii="Arial" w:hAnsi="Arial" w:cs="Arial"/>
                <w:b/>
                <w:caps/>
                <w:sz w:val="20"/>
                <w:szCs w:val="22"/>
                <w:lang w:val="id-ID"/>
              </w:rPr>
              <w:t>PD Kabupaten/ Kota</w:t>
            </w:r>
          </w:p>
        </w:tc>
        <w:tc>
          <w:tcPr>
            <w:tcW w:w="2340" w:type="dxa"/>
            <w:vAlign w:val="center"/>
          </w:tcPr>
          <w:p w:rsidR="009A1132" w:rsidRPr="008639A5" w:rsidRDefault="00CF2C47" w:rsidP="008F0377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lang w:val="id-ID"/>
              </w:rPr>
            </w:pPr>
            <w:r w:rsidRPr="008639A5">
              <w:rPr>
                <w:rFonts w:ascii="Arial" w:hAnsi="Arial" w:cs="Arial"/>
                <w:b/>
                <w:caps/>
                <w:sz w:val="20"/>
                <w:szCs w:val="22"/>
                <w:lang w:val="id-ID"/>
              </w:rPr>
              <w:t>CAPAIAN Sasaran pada Renstra O</w:t>
            </w:r>
            <w:r w:rsidR="009A1132" w:rsidRPr="008639A5">
              <w:rPr>
                <w:rFonts w:ascii="Arial" w:hAnsi="Arial" w:cs="Arial"/>
                <w:b/>
                <w:caps/>
                <w:sz w:val="20"/>
                <w:szCs w:val="22"/>
                <w:lang w:val="id-ID"/>
              </w:rPr>
              <w:t>PD Provinsi</w:t>
            </w:r>
          </w:p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caps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(Sebagai Hasil tidak langsung dr koordinasi dan fasilitasi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dinas kesehatan Prov)</w:t>
            </w:r>
          </w:p>
        </w:tc>
        <w:tc>
          <w:tcPr>
            <w:tcW w:w="2158" w:type="dxa"/>
            <w:vAlign w:val="center"/>
          </w:tcPr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lang w:val="id-ID"/>
              </w:rPr>
            </w:pPr>
            <w:r w:rsidRPr="008639A5">
              <w:rPr>
                <w:rFonts w:ascii="Arial" w:hAnsi="Arial" w:cs="Arial"/>
                <w:b/>
                <w:caps/>
                <w:sz w:val="20"/>
                <w:szCs w:val="22"/>
              </w:rPr>
              <w:t xml:space="preserve">CAPAIAN </w:t>
            </w:r>
            <w:r w:rsidRPr="008639A5">
              <w:rPr>
                <w:rFonts w:ascii="Arial" w:hAnsi="Arial" w:cs="Arial"/>
                <w:b/>
                <w:caps/>
                <w:sz w:val="20"/>
                <w:szCs w:val="22"/>
                <w:lang w:val="id-ID"/>
              </w:rPr>
              <w:t>Sasaran pada Renstra K/L</w:t>
            </w:r>
            <w:r w:rsidRPr="008639A5">
              <w:rPr>
                <w:rFonts w:ascii="Arial" w:hAnsi="Arial" w:cs="Arial"/>
                <w:b/>
                <w:caps/>
                <w:sz w:val="20"/>
                <w:szCs w:val="22"/>
              </w:rPr>
              <w:t xml:space="preserve"> </w:t>
            </w:r>
          </w:p>
        </w:tc>
      </w:tr>
      <w:tr w:rsidR="009A1132" w:rsidRPr="008639A5" w:rsidTr="008F0377">
        <w:trPr>
          <w:trHeight w:val="237"/>
          <w:tblHeader/>
        </w:trPr>
        <w:tc>
          <w:tcPr>
            <w:tcW w:w="634" w:type="dxa"/>
            <w:vAlign w:val="center"/>
          </w:tcPr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8639A5">
              <w:rPr>
                <w:rFonts w:ascii="Arial" w:hAnsi="Arial" w:cs="Arial"/>
                <w:b/>
                <w:sz w:val="20"/>
                <w:szCs w:val="22"/>
                <w:lang w:val="id-ID"/>
              </w:rPr>
              <w:t>(1)</w:t>
            </w:r>
          </w:p>
        </w:tc>
        <w:tc>
          <w:tcPr>
            <w:tcW w:w="2070" w:type="dxa"/>
            <w:vAlign w:val="center"/>
          </w:tcPr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8639A5">
              <w:rPr>
                <w:rFonts w:ascii="Arial" w:hAnsi="Arial" w:cs="Arial"/>
                <w:b/>
                <w:sz w:val="20"/>
                <w:szCs w:val="22"/>
                <w:lang w:val="id-ID"/>
              </w:rPr>
              <w:t>(2)</w:t>
            </w:r>
          </w:p>
        </w:tc>
        <w:tc>
          <w:tcPr>
            <w:tcW w:w="2158" w:type="dxa"/>
            <w:vAlign w:val="center"/>
          </w:tcPr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8639A5">
              <w:rPr>
                <w:rFonts w:ascii="Arial" w:hAnsi="Arial" w:cs="Arial"/>
                <w:b/>
                <w:sz w:val="20"/>
                <w:szCs w:val="22"/>
                <w:lang w:val="id-ID"/>
              </w:rPr>
              <w:t>(3)</w:t>
            </w:r>
          </w:p>
        </w:tc>
        <w:tc>
          <w:tcPr>
            <w:tcW w:w="2340" w:type="dxa"/>
            <w:vAlign w:val="center"/>
          </w:tcPr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8639A5">
              <w:rPr>
                <w:rFonts w:ascii="Arial" w:hAnsi="Arial" w:cs="Arial"/>
                <w:b/>
                <w:sz w:val="20"/>
                <w:szCs w:val="22"/>
                <w:lang w:val="id-ID"/>
              </w:rPr>
              <w:t>(4)</w:t>
            </w:r>
          </w:p>
        </w:tc>
        <w:tc>
          <w:tcPr>
            <w:tcW w:w="2158" w:type="dxa"/>
            <w:vAlign w:val="center"/>
          </w:tcPr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8639A5">
              <w:rPr>
                <w:rFonts w:ascii="Arial" w:hAnsi="Arial" w:cs="Arial"/>
                <w:b/>
                <w:sz w:val="20"/>
                <w:szCs w:val="22"/>
                <w:lang w:val="id-ID"/>
              </w:rPr>
              <w:t>(5)</w:t>
            </w:r>
          </w:p>
        </w:tc>
      </w:tr>
      <w:tr w:rsidR="009A1132" w:rsidRPr="008639A5" w:rsidTr="008F0377">
        <w:tc>
          <w:tcPr>
            <w:tcW w:w="634" w:type="dxa"/>
          </w:tcPr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</w:rPr>
              <w:t>1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.</w:t>
            </w:r>
          </w:p>
        </w:tc>
        <w:tc>
          <w:tcPr>
            <w:tcW w:w="2070" w:type="dxa"/>
          </w:tcPr>
          <w:p w:rsidR="009A1132" w:rsidRPr="008639A5" w:rsidRDefault="009A1132" w:rsidP="008F0377">
            <w:pPr>
              <w:spacing w:line="288" w:lineRule="auto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Pesentase balita ditimbang berat badannya (D/S)</w:t>
            </w:r>
          </w:p>
        </w:tc>
        <w:tc>
          <w:tcPr>
            <w:tcW w:w="2158" w:type="dxa"/>
          </w:tcPr>
          <w:p w:rsidR="009A1132" w:rsidRPr="008639A5" w:rsidRDefault="00191457" w:rsidP="000153DE">
            <w:pPr>
              <w:snapToGri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Persentase D/S tahun 2015 tertinggi di Kota Pariaman </w:t>
            </w:r>
            <w:r w:rsidR="009A1132" w:rsidRPr="008639A5">
              <w:rPr>
                <w:rFonts w:ascii="Arial" w:hAnsi="Arial" w:cs="Arial"/>
                <w:sz w:val="20"/>
                <w:szCs w:val="22"/>
                <w:lang w:val="id-ID"/>
              </w:rPr>
              <w:t>sebesar 9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6,8%</w:t>
            </w:r>
            <w:r w:rsidR="009A1132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dan terendah di Kabupaten Mentawai sebesar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70,4%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>,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tahun 201</w:t>
            </w:r>
            <w:r w:rsidR="000153DE">
              <w:rPr>
                <w:rFonts w:ascii="Arial" w:hAnsi="Arial" w:cs="Arial"/>
                <w:sz w:val="20"/>
                <w:szCs w:val="22"/>
              </w:rPr>
              <w:t>7</w:t>
            </w:r>
            <w:r w:rsidR="000153DE">
              <w:rPr>
                <w:rFonts w:ascii="Arial" w:hAnsi="Arial" w:cs="Arial"/>
                <w:sz w:val="20"/>
                <w:szCs w:val="22"/>
                <w:lang w:val="id-ID"/>
              </w:rPr>
              <w:t xml:space="preserve"> tertinggi di K</w:t>
            </w:r>
            <w:r w:rsidR="000153DE">
              <w:rPr>
                <w:rFonts w:ascii="Arial" w:hAnsi="Arial" w:cs="Arial"/>
                <w:sz w:val="20"/>
                <w:szCs w:val="22"/>
              </w:rPr>
              <w:t>ab. Pesisir Selatan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</w:t>
            </w:r>
            <w:r w:rsidR="000153DE">
              <w:rPr>
                <w:rFonts w:ascii="Arial" w:hAnsi="Arial" w:cs="Arial"/>
                <w:sz w:val="20"/>
                <w:szCs w:val="22"/>
                <w:lang w:val="id-ID"/>
              </w:rPr>
              <w:t xml:space="preserve">sebesar </w:t>
            </w:r>
            <w:r w:rsidR="000153DE">
              <w:rPr>
                <w:rFonts w:ascii="Arial" w:hAnsi="Arial" w:cs="Arial"/>
                <w:sz w:val="20"/>
                <w:szCs w:val="22"/>
              </w:rPr>
              <w:t>85,9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 dan terendah di</w:t>
            </w:r>
            <w:r w:rsidR="000153DE">
              <w:rPr>
                <w:rFonts w:ascii="Arial" w:hAnsi="Arial" w:cs="Arial"/>
                <w:sz w:val="20"/>
                <w:szCs w:val="22"/>
                <w:lang w:val="id-ID"/>
              </w:rPr>
              <w:t xml:space="preserve"> Kabupaten Mentawai sebesar </w:t>
            </w:r>
            <w:r w:rsidR="000153DE">
              <w:rPr>
                <w:rFonts w:ascii="Arial" w:hAnsi="Arial" w:cs="Arial"/>
                <w:sz w:val="20"/>
                <w:szCs w:val="22"/>
              </w:rPr>
              <w:t>41,7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  <w:tc>
          <w:tcPr>
            <w:tcW w:w="2340" w:type="dxa"/>
          </w:tcPr>
          <w:p w:rsidR="009A1132" w:rsidRPr="008639A5" w:rsidRDefault="009A1132" w:rsidP="007D367B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Capaian angka D/S di Sumatera Barat tahun 201</w:t>
            </w:r>
            <w:r w:rsidR="007D367B" w:rsidRPr="008639A5">
              <w:rPr>
                <w:rFonts w:ascii="Arial" w:hAnsi="Arial" w:cs="Arial"/>
                <w:sz w:val="20"/>
                <w:szCs w:val="22"/>
                <w:lang w:val="id-ID"/>
              </w:rPr>
              <w:t>5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adalah sebesar 8</w:t>
            </w:r>
            <w:r w:rsidR="007D367B" w:rsidRPr="008639A5">
              <w:rPr>
                <w:rFonts w:ascii="Arial" w:hAnsi="Arial" w:cs="Arial"/>
                <w:sz w:val="20"/>
                <w:szCs w:val="22"/>
                <w:lang w:val="id-ID"/>
              </w:rPr>
              <w:t>5,1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 dari target 8</w:t>
            </w:r>
            <w:r w:rsidR="007D367B" w:rsidRPr="008639A5">
              <w:rPr>
                <w:rFonts w:ascii="Arial" w:hAnsi="Arial" w:cs="Arial"/>
                <w:sz w:val="20"/>
                <w:szCs w:val="22"/>
                <w:lang w:val="id-ID"/>
              </w:rPr>
              <w:t>5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.00%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0153DE">
              <w:rPr>
                <w:rFonts w:ascii="Arial" w:hAnsi="Arial" w:cs="Arial"/>
                <w:sz w:val="20"/>
                <w:szCs w:val="22"/>
              </w:rPr>
              <w:t>7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dar</w:t>
            </w:r>
            <w:r w:rsidR="00CE3353">
              <w:rPr>
                <w:rFonts w:ascii="Arial" w:hAnsi="Arial" w:cs="Arial"/>
                <w:sz w:val="20"/>
                <w:szCs w:val="22"/>
                <w:lang w:val="id-ID"/>
              </w:rPr>
              <w:t xml:space="preserve">i target 85% dengan capaian </w:t>
            </w:r>
            <w:r w:rsidR="000153DE">
              <w:rPr>
                <w:rFonts w:ascii="Arial" w:hAnsi="Arial" w:cs="Arial"/>
                <w:sz w:val="20"/>
                <w:szCs w:val="22"/>
              </w:rPr>
              <w:t>69,4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  <w:tc>
          <w:tcPr>
            <w:tcW w:w="2158" w:type="dxa"/>
          </w:tcPr>
          <w:p w:rsidR="009A1132" w:rsidRPr="008639A5" w:rsidRDefault="00CD52F0" w:rsidP="0024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 xml:space="preserve">Cakupan </w:t>
            </w:r>
            <w:r w:rsidR="000B29E4" w:rsidRPr="008639A5">
              <w:rPr>
                <w:rFonts w:ascii="Arial" w:hAnsi="Arial" w:cs="Arial"/>
                <w:sz w:val="20"/>
                <w:szCs w:val="22"/>
                <w:lang w:val="id-ID"/>
              </w:rPr>
              <w:t>D/S</w:t>
            </w: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="00240E80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2011 mencapai 70,5%, tahun 2012 mencapai 75,5%, tahun 2013 mencapai 78,2%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tahun 2014 dari target .</w:t>
            </w:r>
            <w:r w:rsidR="000B29E4" w:rsidRPr="008639A5">
              <w:rPr>
                <w:rFonts w:ascii="Arial" w:hAnsi="Arial" w:cs="Arial"/>
                <w:sz w:val="20"/>
                <w:szCs w:val="22"/>
                <w:lang w:val="id-ID"/>
              </w:rPr>
              <w:t>80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% dengan capaian </w:t>
            </w:r>
            <w:r w:rsidR="000B29E4" w:rsidRPr="008639A5">
              <w:rPr>
                <w:rFonts w:ascii="Arial" w:hAnsi="Arial" w:cs="Arial"/>
                <w:sz w:val="20"/>
                <w:szCs w:val="22"/>
                <w:lang w:val="id-ID"/>
              </w:rPr>
              <w:t>81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%, tahun 2015 dari target </w:t>
            </w:r>
            <w:r w:rsidR="000B29E4" w:rsidRPr="008639A5">
              <w:rPr>
                <w:rFonts w:ascii="Arial" w:hAnsi="Arial" w:cs="Arial"/>
                <w:sz w:val="20"/>
                <w:szCs w:val="22"/>
                <w:lang w:val="id-ID"/>
              </w:rPr>
              <w:t>85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% dengan capaian </w:t>
            </w:r>
            <w:r w:rsidR="000B29E4" w:rsidRPr="008639A5">
              <w:rPr>
                <w:rFonts w:ascii="Arial" w:hAnsi="Arial" w:cs="Arial"/>
                <w:sz w:val="20"/>
                <w:szCs w:val="22"/>
                <w:lang w:val="id-ID"/>
              </w:rPr>
              <w:t>85,1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0153DE">
              <w:rPr>
                <w:rFonts w:ascii="Arial" w:hAnsi="Arial" w:cs="Arial"/>
                <w:sz w:val="20"/>
                <w:szCs w:val="22"/>
              </w:rPr>
              <w:t>6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dar</w:t>
            </w:r>
            <w:r w:rsidR="000153DE">
              <w:rPr>
                <w:rFonts w:ascii="Arial" w:hAnsi="Arial" w:cs="Arial"/>
                <w:sz w:val="20"/>
                <w:szCs w:val="22"/>
                <w:lang w:val="id-ID"/>
              </w:rPr>
              <w:t xml:space="preserve">i target 85% dengan capaian </w:t>
            </w:r>
            <w:r w:rsidR="000153DE">
              <w:rPr>
                <w:rFonts w:ascii="Arial" w:hAnsi="Arial" w:cs="Arial"/>
                <w:sz w:val="20"/>
                <w:szCs w:val="22"/>
              </w:rPr>
              <w:t>69,6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  <w:r w:rsidR="000153DE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tahun 201</w:t>
            </w:r>
            <w:r w:rsidR="000153DE">
              <w:rPr>
                <w:rFonts w:ascii="Arial" w:hAnsi="Arial" w:cs="Arial"/>
                <w:sz w:val="20"/>
                <w:szCs w:val="22"/>
              </w:rPr>
              <w:t>7</w:t>
            </w:r>
            <w:r w:rsidR="000153DE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dar</w:t>
            </w:r>
            <w:r w:rsidR="000153DE">
              <w:rPr>
                <w:rFonts w:ascii="Arial" w:hAnsi="Arial" w:cs="Arial"/>
                <w:sz w:val="20"/>
                <w:szCs w:val="22"/>
                <w:lang w:val="id-ID"/>
              </w:rPr>
              <w:t xml:space="preserve">i target 85% dengan capaian </w:t>
            </w:r>
            <w:r w:rsidR="000153DE">
              <w:rPr>
                <w:rFonts w:ascii="Arial" w:hAnsi="Arial" w:cs="Arial"/>
                <w:sz w:val="20"/>
                <w:szCs w:val="22"/>
              </w:rPr>
              <w:t>69,4</w:t>
            </w:r>
            <w:r w:rsidR="000153DE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</w:tr>
      <w:tr w:rsidR="009A1132" w:rsidRPr="008639A5" w:rsidTr="008F0377">
        <w:tc>
          <w:tcPr>
            <w:tcW w:w="634" w:type="dxa"/>
          </w:tcPr>
          <w:p w:rsidR="009A1132" w:rsidRPr="008639A5" w:rsidRDefault="009A1132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2.</w:t>
            </w:r>
          </w:p>
        </w:tc>
        <w:tc>
          <w:tcPr>
            <w:tcW w:w="2070" w:type="dxa"/>
          </w:tcPr>
          <w:p w:rsidR="009A1132" w:rsidRPr="008639A5" w:rsidRDefault="009A1132" w:rsidP="007D367B">
            <w:pPr>
              <w:tabs>
                <w:tab w:val="left" w:pos="252"/>
              </w:tabs>
              <w:snapToGrid w:val="0"/>
              <w:spacing w:line="216" w:lineRule="auto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 xml:space="preserve">Akses </w:t>
            </w:r>
            <w:r w:rsidR="007D367B" w:rsidRPr="008639A5">
              <w:rPr>
                <w:rFonts w:ascii="Arial" w:hAnsi="Arial" w:cs="Arial"/>
                <w:sz w:val="20"/>
                <w:szCs w:val="22"/>
                <w:lang w:val="id-ID"/>
              </w:rPr>
              <w:t>air minum yang berkualitas</w:t>
            </w:r>
          </w:p>
        </w:tc>
        <w:tc>
          <w:tcPr>
            <w:tcW w:w="2158" w:type="dxa"/>
          </w:tcPr>
          <w:p w:rsidR="009A1132" w:rsidRPr="008639A5" w:rsidRDefault="007D367B" w:rsidP="000153DE">
            <w:pPr>
              <w:snapToGri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Persentase </w:t>
            </w: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 xml:space="preserve">Akses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air minum yang berkualitas tahun 2015 tertinggi di Kota Pariaman sebesar 99,8% dan terendah di Kabupaten Mentawai sebesar 74,59%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0153DE">
              <w:rPr>
                <w:rFonts w:ascii="Arial" w:hAnsi="Arial" w:cs="Arial"/>
                <w:sz w:val="20"/>
                <w:szCs w:val="22"/>
              </w:rPr>
              <w:t>7</w:t>
            </w:r>
            <w:r w:rsidR="000153DE">
              <w:rPr>
                <w:rFonts w:ascii="Arial" w:hAnsi="Arial" w:cs="Arial"/>
                <w:sz w:val="20"/>
                <w:szCs w:val="22"/>
                <w:lang w:val="id-ID"/>
              </w:rPr>
              <w:t xml:space="preserve"> tertinggi di Kota </w:t>
            </w:r>
            <w:r w:rsidR="000153DE">
              <w:rPr>
                <w:rFonts w:ascii="Arial" w:hAnsi="Arial" w:cs="Arial"/>
                <w:sz w:val="20"/>
                <w:szCs w:val="22"/>
              </w:rPr>
              <w:t>Solok</w:t>
            </w:r>
            <w:r w:rsidR="000153DE">
              <w:rPr>
                <w:rFonts w:ascii="Arial" w:hAnsi="Arial" w:cs="Arial"/>
                <w:sz w:val="20"/>
                <w:szCs w:val="22"/>
                <w:lang w:val="id-ID"/>
              </w:rPr>
              <w:t xml:space="preserve"> sebesar 9</w:t>
            </w:r>
            <w:r w:rsidR="000153DE">
              <w:rPr>
                <w:rFonts w:ascii="Arial" w:hAnsi="Arial" w:cs="Arial"/>
                <w:sz w:val="20"/>
                <w:szCs w:val="22"/>
              </w:rPr>
              <w:t>8</w:t>
            </w:r>
            <w:r w:rsidR="000153DE">
              <w:rPr>
                <w:rFonts w:ascii="Arial" w:hAnsi="Arial" w:cs="Arial"/>
                <w:sz w:val="20"/>
                <w:szCs w:val="22"/>
                <w:lang w:val="id-ID"/>
              </w:rPr>
              <w:t>,</w:t>
            </w:r>
            <w:r w:rsidR="000153DE">
              <w:rPr>
                <w:rFonts w:ascii="Arial" w:hAnsi="Arial" w:cs="Arial"/>
                <w:sz w:val="20"/>
                <w:szCs w:val="22"/>
              </w:rPr>
              <w:t>92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 dan terendah di</w:t>
            </w:r>
            <w:r w:rsidR="000153DE">
              <w:rPr>
                <w:rFonts w:ascii="Arial" w:hAnsi="Arial" w:cs="Arial"/>
                <w:sz w:val="20"/>
                <w:szCs w:val="22"/>
                <w:lang w:val="id-ID"/>
              </w:rPr>
              <w:t xml:space="preserve"> Kabupaten</w:t>
            </w:r>
            <w:r w:rsidR="000153DE">
              <w:rPr>
                <w:rFonts w:ascii="Arial" w:hAnsi="Arial" w:cs="Arial"/>
                <w:sz w:val="20"/>
                <w:szCs w:val="22"/>
              </w:rPr>
              <w:t>Padang Pariaman</w:t>
            </w:r>
            <w:r w:rsidR="000153DE">
              <w:rPr>
                <w:rFonts w:ascii="Arial" w:hAnsi="Arial" w:cs="Arial"/>
                <w:sz w:val="20"/>
                <w:szCs w:val="22"/>
                <w:lang w:val="id-ID"/>
              </w:rPr>
              <w:t xml:space="preserve"> sebesar </w:t>
            </w:r>
            <w:r w:rsidR="000153DE">
              <w:rPr>
                <w:rFonts w:ascii="Arial" w:hAnsi="Arial" w:cs="Arial"/>
                <w:sz w:val="20"/>
                <w:szCs w:val="22"/>
              </w:rPr>
              <w:t>66,15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  <w:tc>
          <w:tcPr>
            <w:tcW w:w="2340" w:type="dxa"/>
          </w:tcPr>
          <w:p w:rsidR="009A1132" w:rsidRPr="008639A5" w:rsidRDefault="00B33646" w:rsidP="00BC4B07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 xml:space="preserve">Cakupan </w:t>
            </w:r>
            <w:r w:rsidR="00801C94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Persentase </w:t>
            </w:r>
            <w:r w:rsidR="00801C94" w:rsidRPr="008639A5">
              <w:rPr>
                <w:rFonts w:ascii="Arial" w:hAnsi="Arial" w:cs="Arial"/>
                <w:sz w:val="20"/>
                <w:szCs w:val="22"/>
                <w:lang w:val="es-ES"/>
              </w:rPr>
              <w:t xml:space="preserve">Akses </w:t>
            </w:r>
            <w:r w:rsidR="00801C94" w:rsidRPr="008639A5">
              <w:rPr>
                <w:rFonts w:ascii="Arial" w:hAnsi="Arial" w:cs="Arial"/>
                <w:sz w:val="20"/>
                <w:szCs w:val="22"/>
                <w:lang w:val="id-ID"/>
              </w:rPr>
              <w:t>air minum yang berkualitas</w:t>
            </w: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sejak tahun 2011 dengan capaian </w:t>
            </w:r>
            <w:r w:rsidR="00801C94" w:rsidRPr="008639A5">
              <w:rPr>
                <w:rFonts w:ascii="Arial" w:hAnsi="Arial" w:cs="Arial"/>
                <w:sz w:val="20"/>
                <w:szCs w:val="22"/>
                <w:lang w:val="id-ID"/>
              </w:rPr>
              <w:t>69,79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  <w:r w:rsidR="00801C94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dari target 64%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, t</w:t>
            </w:r>
            <w:r w:rsidR="00801C94" w:rsidRPr="008639A5">
              <w:rPr>
                <w:rFonts w:ascii="Arial" w:hAnsi="Arial" w:cs="Arial"/>
                <w:sz w:val="20"/>
                <w:szCs w:val="22"/>
                <w:lang w:val="id-ID"/>
              </w:rPr>
              <w:t>ahun 2012 dengan capaian 72,81% dari target 65%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, </w:t>
            </w:r>
            <w:r w:rsidR="00801C94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2013 dengan capaian 78,70% dari target 66%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, tahun 2014 dari</w:t>
            </w:r>
            <w:r w:rsidR="00801C94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target 67% dengan capaian 81,50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%, tahun 2015 dari target </w:t>
            </w:r>
            <w:r w:rsidR="00801C94" w:rsidRPr="008639A5">
              <w:rPr>
                <w:rFonts w:ascii="Arial" w:hAnsi="Arial" w:cs="Arial"/>
                <w:sz w:val="20"/>
                <w:szCs w:val="22"/>
                <w:lang w:val="id-ID"/>
              </w:rPr>
              <w:t>68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 dengan capaian 83,70%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BC4B07">
              <w:rPr>
                <w:rFonts w:ascii="Arial" w:hAnsi="Arial" w:cs="Arial"/>
                <w:sz w:val="20"/>
                <w:szCs w:val="22"/>
              </w:rPr>
              <w:t>7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ari target </w:t>
            </w:r>
            <w:r w:rsidR="00BC4B07">
              <w:rPr>
                <w:rFonts w:ascii="Arial" w:hAnsi="Arial" w:cs="Arial"/>
                <w:sz w:val="20"/>
                <w:szCs w:val="22"/>
              </w:rPr>
              <w:t>80</w:t>
            </w:r>
            <w:r w:rsidR="000153DE">
              <w:rPr>
                <w:rFonts w:ascii="Arial" w:hAnsi="Arial" w:cs="Arial"/>
                <w:sz w:val="20"/>
                <w:szCs w:val="22"/>
                <w:lang w:val="id-ID"/>
              </w:rPr>
              <w:t xml:space="preserve">% dengan capaian </w:t>
            </w:r>
            <w:r w:rsidR="00BC4B07">
              <w:rPr>
                <w:rFonts w:ascii="Arial" w:hAnsi="Arial" w:cs="Arial"/>
                <w:sz w:val="20"/>
                <w:szCs w:val="22"/>
              </w:rPr>
              <w:t>80,58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  <w:tc>
          <w:tcPr>
            <w:tcW w:w="2158" w:type="dxa"/>
          </w:tcPr>
          <w:p w:rsidR="009A1132" w:rsidRPr="008639A5" w:rsidRDefault="009A1132" w:rsidP="008F0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fi-FI" w:eastAsia="id-ID"/>
              </w:rPr>
            </w:pPr>
          </w:p>
        </w:tc>
      </w:tr>
      <w:tr w:rsidR="00801C94" w:rsidRPr="008639A5" w:rsidTr="008F0377">
        <w:tc>
          <w:tcPr>
            <w:tcW w:w="634" w:type="dxa"/>
          </w:tcPr>
          <w:p w:rsidR="00801C94" w:rsidRPr="008639A5" w:rsidRDefault="00801C9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3.</w:t>
            </w:r>
          </w:p>
        </w:tc>
        <w:tc>
          <w:tcPr>
            <w:tcW w:w="2070" w:type="dxa"/>
          </w:tcPr>
          <w:p w:rsidR="00801C94" w:rsidRPr="008639A5" w:rsidRDefault="00801C94" w:rsidP="008F0377">
            <w:pPr>
              <w:tabs>
                <w:tab w:val="left" w:pos="252"/>
              </w:tabs>
              <w:snapToGrid w:val="0"/>
              <w:spacing w:line="216" w:lineRule="auto"/>
              <w:rPr>
                <w:rFonts w:ascii="Arial" w:hAnsi="Arial" w:cs="Arial"/>
                <w:sz w:val="20"/>
                <w:lang w:val="sv-SE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sv-SE"/>
              </w:rPr>
              <w:t>Akses Jamban sehat</w:t>
            </w:r>
          </w:p>
        </w:tc>
        <w:tc>
          <w:tcPr>
            <w:tcW w:w="2158" w:type="dxa"/>
          </w:tcPr>
          <w:p w:rsidR="00801C94" w:rsidRPr="008639A5" w:rsidRDefault="00801C94" w:rsidP="007D367B">
            <w:pPr>
              <w:snapToGri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Persentase </w:t>
            </w:r>
            <w:r w:rsidRPr="008639A5">
              <w:rPr>
                <w:rFonts w:ascii="Arial" w:hAnsi="Arial" w:cs="Arial"/>
                <w:sz w:val="20"/>
                <w:szCs w:val="22"/>
                <w:lang w:val="sv-SE"/>
              </w:rPr>
              <w:t>Akses Jamban sehat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tahun 2015 tertinggi di Kota Payakumbuh sebesar 99,34% dan terendah di Kabupaten Mentawai sebesar 68,49%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BC4B07">
              <w:rPr>
                <w:rFonts w:ascii="Arial" w:hAnsi="Arial" w:cs="Arial"/>
                <w:sz w:val="20"/>
                <w:szCs w:val="22"/>
              </w:rPr>
              <w:t>7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lastRenderedPageBreak/>
              <w:t xml:space="preserve">tertinggi di Kota </w:t>
            </w:r>
            <w:r w:rsidR="00BC4B07">
              <w:rPr>
                <w:rFonts w:ascii="Arial" w:hAnsi="Arial" w:cs="Arial"/>
                <w:sz w:val="20"/>
                <w:szCs w:val="22"/>
              </w:rPr>
              <w:t>Bukittinggi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 sebesar 96,</w:t>
            </w:r>
            <w:r w:rsidR="00BC4B07">
              <w:rPr>
                <w:rFonts w:ascii="Arial" w:hAnsi="Arial" w:cs="Arial"/>
                <w:sz w:val="20"/>
                <w:szCs w:val="22"/>
              </w:rPr>
              <w:t>26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 dan terendah di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 Kabupaten Mentawai sebesar </w:t>
            </w:r>
            <w:r w:rsidR="00BC4B07">
              <w:rPr>
                <w:rFonts w:ascii="Arial" w:hAnsi="Arial" w:cs="Arial"/>
                <w:sz w:val="20"/>
                <w:szCs w:val="22"/>
              </w:rPr>
              <w:t>46,65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  <w:tc>
          <w:tcPr>
            <w:tcW w:w="2340" w:type="dxa"/>
          </w:tcPr>
          <w:p w:rsidR="00801C94" w:rsidRPr="00BC4B07" w:rsidRDefault="00801C94" w:rsidP="00801C9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lastRenderedPageBreak/>
              <w:t xml:space="preserve">Cakupan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Jamban sehat</w:t>
            </w: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sejak tahun 2011 dengan capaian 62,48% dari target 67%, tahun 2012 dengan capaian 70,05% dari target 70%, tahun 2013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lastRenderedPageBreak/>
              <w:t>dengan capaian 73,56% dari target 73%, tahun 2014 dari target 74% dengan capaian 78,10%, tahun 2015 dari target 75% dengan capaian 80,05%</w:t>
            </w:r>
            <w:r w:rsidR="00BC4B0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BC4B07">
              <w:rPr>
                <w:rFonts w:ascii="Arial" w:hAnsi="Arial" w:cs="Arial"/>
                <w:sz w:val="20"/>
                <w:szCs w:val="22"/>
              </w:rPr>
              <w:t>7</w:t>
            </w:r>
            <w:r w:rsidR="00BC4B07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dari target 75% dengan capaian </w:t>
            </w:r>
            <w:r w:rsidR="00BC4B07">
              <w:rPr>
                <w:rFonts w:ascii="Arial" w:hAnsi="Arial" w:cs="Arial"/>
                <w:sz w:val="20"/>
                <w:szCs w:val="22"/>
              </w:rPr>
              <w:t>73,64</w:t>
            </w:r>
            <w:r w:rsidR="00BC4B07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  <w:tc>
          <w:tcPr>
            <w:tcW w:w="2158" w:type="dxa"/>
          </w:tcPr>
          <w:p w:rsidR="00801C94" w:rsidRPr="008639A5" w:rsidRDefault="00801C94" w:rsidP="008F0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id-ID" w:eastAsia="id-ID"/>
              </w:rPr>
            </w:pPr>
          </w:p>
        </w:tc>
      </w:tr>
      <w:tr w:rsidR="00801C94" w:rsidRPr="008639A5" w:rsidTr="008F0377">
        <w:tc>
          <w:tcPr>
            <w:tcW w:w="634" w:type="dxa"/>
          </w:tcPr>
          <w:p w:rsidR="00801C94" w:rsidRPr="008639A5" w:rsidRDefault="00801C9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lastRenderedPageBreak/>
              <w:t>4.</w:t>
            </w:r>
          </w:p>
        </w:tc>
        <w:tc>
          <w:tcPr>
            <w:tcW w:w="2070" w:type="dxa"/>
          </w:tcPr>
          <w:p w:rsidR="00801C94" w:rsidRPr="008639A5" w:rsidRDefault="00801C94" w:rsidP="008F0377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Persentase </w:t>
            </w:r>
            <w:r w:rsidRPr="008639A5">
              <w:rPr>
                <w:rFonts w:ascii="Arial" w:hAnsi="Arial" w:cs="Arial"/>
                <w:sz w:val="20"/>
                <w:szCs w:val="22"/>
              </w:rPr>
              <w:t xml:space="preserve"> persalinan oleh tenaga kesehatan </w:t>
            </w:r>
          </w:p>
        </w:tc>
        <w:tc>
          <w:tcPr>
            <w:tcW w:w="2158" w:type="dxa"/>
          </w:tcPr>
          <w:p w:rsidR="00801C94" w:rsidRPr="008639A5" w:rsidRDefault="00801C94" w:rsidP="007E04A9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Persentase </w:t>
            </w:r>
            <w:r w:rsidRPr="008639A5">
              <w:rPr>
                <w:rFonts w:ascii="Arial" w:hAnsi="Arial" w:cs="Arial"/>
                <w:sz w:val="20"/>
                <w:szCs w:val="22"/>
              </w:rPr>
              <w:t xml:space="preserve"> persalinan oleh tenaga kesehatan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2015 tertinggi di Kota Pariaman sebesar 99,66% dan terendah di Kabupaten Mentawai sebesar 46,09%</w:t>
            </w:r>
          </w:p>
          <w:p w:rsidR="00FC45EA" w:rsidRPr="008639A5" w:rsidRDefault="00FC45EA" w:rsidP="007E04A9">
            <w:pPr>
              <w:snapToGri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BC4B07">
              <w:rPr>
                <w:rFonts w:ascii="Arial" w:hAnsi="Arial" w:cs="Arial"/>
                <w:sz w:val="20"/>
                <w:szCs w:val="22"/>
              </w:rPr>
              <w:t>7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 tertinggi di Kota Pa</w:t>
            </w:r>
            <w:r w:rsidR="00BC4B07">
              <w:rPr>
                <w:rFonts w:ascii="Arial" w:hAnsi="Arial" w:cs="Arial"/>
                <w:sz w:val="20"/>
                <w:szCs w:val="22"/>
              </w:rPr>
              <w:t>dang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 sebesar 9</w:t>
            </w:r>
            <w:r w:rsidR="00BC4B07">
              <w:rPr>
                <w:rFonts w:ascii="Arial" w:hAnsi="Arial" w:cs="Arial"/>
                <w:sz w:val="20"/>
                <w:szCs w:val="22"/>
              </w:rPr>
              <w:t>7,4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 dan terendah di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 Kabupaten Mentawai sebesar </w:t>
            </w:r>
            <w:r w:rsidR="00BC4B07">
              <w:rPr>
                <w:rFonts w:ascii="Arial" w:hAnsi="Arial" w:cs="Arial"/>
                <w:sz w:val="20"/>
                <w:szCs w:val="22"/>
              </w:rPr>
              <w:t>17,3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  <w:tc>
          <w:tcPr>
            <w:tcW w:w="2340" w:type="dxa"/>
          </w:tcPr>
          <w:p w:rsidR="00801C94" w:rsidRPr="008639A5" w:rsidRDefault="00801C94" w:rsidP="00BC4B07">
            <w:pPr>
              <w:snapToGrid w:val="0"/>
              <w:rPr>
                <w:rFonts w:ascii="Arial" w:hAnsi="Arial" w:cs="Arial"/>
                <w:bCs/>
                <w:sz w:val="20"/>
                <w:lang w:val="es-ES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Capaian cakupan Linakes untuk Provinsi Sumbar pada tahun 2015 adalah 90,00%. Angka ini sama dengan   target yang telah ditentukan, yakni 90,00%.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tahun 201</w:t>
            </w:r>
            <w:r w:rsidR="00EA3A1D">
              <w:rPr>
                <w:rFonts w:ascii="Arial" w:hAnsi="Arial" w:cs="Arial"/>
                <w:sz w:val="20"/>
                <w:szCs w:val="22"/>
              </w:rPr>
              <w:t>7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dari targ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>et 85% dengan capaian 8</w:t>
            </w:r>
            <w:r w:rsidR="00BC4B07">
              <w:rPr>
                <w:rFonts w:ascii="Arial" w:hAnsi="Arial" w:cs="Arial"/>
                <w:sz w:val="20"/>
                <w:szCs w:val="22"/>
              </w:rPr>
              <w:t>0,3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  <w:tc>
          <w:tcPr>
            <w:tcW w:w="2158" w:type="dxa"/>
          </w:tcPr>
          <w:p w:rsidR="00801C94" w:rsidRPr="008639A5" w:rsidRDefault="00801C94" w:rsidP="008F03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>Cakupan proses persalinan yang ditolong oleh tenaga</w:t>
            </w:r>
          </w:p>
          <w:p w:rsidR="00801C94" w:rsidRPr="008639A5" w:rsidRDefault="00801C94" w:rsidP="00BC4B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 xml:space="preserve">kesehatan terlatih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sejak tahun 2011 dengan capaian 86%, tahun 2012 dengan capaian 88,25%, tahun 2013 dengan capaian 89%, tahun 2014 dari target 90% dengan capaian 91,25%, tahun 2015 dari target 90% dengan capaian 91,08%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BC4B07">
              <w:rPr>
                <w:rFonts w:ascii="Arial" w:hAnsi="Arial" w:cs="Arial"/>
                <w:sz w:val="20"/>
                <w:szCs w:val="22"/>
              </w:rPr>
              <w:t>7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>ari target 85% dengan capaian 8</w:t>
            </w:r>
            <w:r w:rsidR="00BC4B07">
              <w:rPr>
                <w:rFonts w:ascii="Arial" w:hAnsi="Arial" w:cs="Arial"/>
                <w:sz w:val="20"/>
                <w:szCs w:val="22"/>
              </w:rPr>
              <w:t>0,3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</w:tr>
      <w:tr w:rsidR="00801C94" w:rsidRPr="008639A5" w:rsidTr="008F0377">
        <w:tc>
          <w:tcPr>
            <w:tcW w:w="634" w:type="dxa"/>
          </w:tcPr>
          <w:p w:rsidR="00801C94" w:rsidRPr="008639A5" w:rsidRDefault="00801C9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5.</w:t>
            </w:r>
          </w:p>
        </w:tc>
        <w:tc>
          <w:tcPr>
            <w:tcW w:w="2070" w:type="dxa"/>
          </w:tcPr>
          <w:p w:rsidR="00801C94" w:rsidRPr="008639A5" w:rsidRDefault="00801C94" w:rsidP="008F0377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Kunjungan  Neonatal Pertama (KN1)</w:t>
            </w:r>
          </w:p>
        </w:tc>
        <w:tc>
          <w:tcPr>
            <w:tcW w:w="2158" w:type="dxa"/>
          </w:tcPr>
          <w:p w:rsidR="00801C94" w:rsidRPr="008639A5" w:rsidRDefault="00801C94" w:rsidP="00EC32C6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Persentase Kunjungan  Neonatal Pertama (KN1)  tahun 2015 tertinggi di Kota Pariaman  sebesar 100% dan terendah di Kabupaten Mentawai sebesar 46,10%</w:t>
            </w:r>
          </w:p>
          <w:p w:rsidR="00FC45EA" w:rsidRPr="008639A5" w:rsidRDefault="00FC45EA" w:rsidP="00EC32C6">
            <w:pPr>
              <w:snapToGri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BC4B07">
              <w:rPr>
                <w:rFonts w:ascii="Arial" w:hAnsi="Arial" w:cs="Arial"/>
                <w:sz w:val="20"/>
                <w:szCs w:val="22"/>
              </w:rPr>
              <w:t>7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 tertinggi di Kota Pa</w:t>
            </w:r>
            <w:r w:rsidR="00BC4B07">
              <w:rPr>
                <w:rFonts w:ascii="Arial" w:hAnsi="Arial" w:cs="Arial"/>
                <w:sz w:val="20"/>
                <w:szCs w:val="22"/>
              </w:rPr>
              <w:t>dang Panjang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 sebesar 9</w:t>
            </w:r>
            <w:r w:rsidR="00BC4B07">
              <w:rPr>
                <w:rFonts w:ascii="Arial" w:hAnsi="Arial" w:cs="Arial"/>
                <w:sz w:val="20"/>
                <w:szCs w:val="22"/>
              </w:rPr>
              <w:t>9,54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 dan terendah di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 Kabupaten Mentawai sebesar </w:t>
            </w:r>
            <w:r w:rsidR="00BC4B07">
              <w:rPr>
                <w:rFonts w:ascii="Arial" w:hAnsi="Arial" w:cs="Arial"/>
                <w:sz w:val="20"/>
                <w:szCs w:val="22"/>
              </w:rPr>
              <w:t>53,94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  <w:tc>
          <w:tcPr>
            <w:tcW w:w="2340" w:type="dxa"/>
          </w:tcPr>
          <w:p w:rsidR="00801C94" w:rsidRPr="008639A5" w:rsidRDefault="00801C94" w:rsidP="00BC4B07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Capaian cakupan Kunjungan  Neonatal Pertama (KN1)  pada tahun 2015 adalah 90,85%. Angka ini melebihi dari target  yang telah ditentukan, yakni 88%</w:t>
            </w:r>
            <w:r w:rsidR="00143930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143930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EA3A1D">
              <w:rPr>
                <w:rFonts w:ascii="Arial" w:hAnsi="Arial" w:cs="Arial"/>
                <w:sz w:val="20"/>
                <w:szCs w:val="22"/>
              </w:rPr>
              <w:t>7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 adalah </w:t>
            </w:r>
            <w:r w:rsidR="00BC4B07">
              <w:rPr>
                <w:rFonts w:ascii="Arial" w:hAnsi="Arial" w:cs="Arial"/>
                <w:sz w:val="20"/>
                <w:szCs w:val="22"/>
              </w:rPr>
              <w:t>84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>%. Angka ini</w:t>
            </w:r>
            <w:r w:rsidR="00BC4B0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>lebih</w:t>
            </w:r>
            <w:r w:rsidR="00BC4B07">
              <w:rPr>
                <w:rFonts w:ascii="Arial" w:hAnsi="Arial" w:cs="Arial"/>
                <w:sz w:val="20"/>
                <w:szCs w:val="22"/>
              </w:rPr>
              <w:t xml:space="preserve"> rendah </w:t>
            </w:r>
            <w:r w:rsidR="00143930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dari target 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 yang telah ditentukan, yakni 8</w:t>
            </w:r>
            <w:r w:rsidR="00BC4B07">
              <w:rPr>
                <w:rFonts w:ascii="Arial" w:hAnsi="Arial" w:cs="Arial"/>
                <w:sz w:val="20"/>
                <w:szCs w:val="22"/>
              </w:rPr>
              <w:t>5</w:t>
            </w:r>
            <w:r w:rsidR="00143930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.</w:t>
            </w:r>
          </w:p>
        </w:tc>
        <w:tc>
          <w:tcPr>
            <w:tcW w:w="2158" w:type="dxa"/>
          </w:tcPr>
          <w:p w:rsidR="00801C94" w:rsidRPr="008639A5" w:rsidRDefault="00801C94" w:rsidP="0076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>Cakupan proses persalinan yang ditolong oleh tenaga</w:t>
            </w:r>
          </w:p>
          <w:p w:rsidR="00801C94" w:rsidRPr="008639A5" w:rsidRDefault="00801C94" w:rsidP="0076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 xml:space="preserve">kesehatan terlatih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sejak tahun 2011 dengan capaian 88%, tahun 2012 dengan capaian 8,95%, tahun 2013 dengan capaian 91,14%, tahun 2014 dari target 86% dengan capaian 91,59%, tahun 2015 dari target 88% dengan capaian 90,85%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BC4B07">
              <w:rPr>
                <w:rFonts w:ascii="Arial" w:hAnsi="Arial" w:cs="Arial"/>
                <w:sz w:val="20"/>
                <w:szCs w:val="22"/>
              </w:rPr>
              <w:t>7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dar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>i target 85% dengan capaian 8</w:t>
            </w:r>
            <w:r w:rsidR="00BC4B07">
              <w:rPr>
                <w:rFonts w:ascii="Arial" w:hAnsi="Arial" w:cs="Arial"/>
                <w:sz w:val="20"/>
                <w:szCs w:val="22"/>
              </w:rPr>
              <w:t>4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</w:tr>
      <w:tr w:rsidR="00FF13B4" w:rsidRPr="008639A5" w:rsidTr="008F0377">
        <w:tc>
          <w:tcPr>
            <w:tcW w:w="634" w:type="dxa"/>
          </w:tcPr>
          <w:p w:rsidR="00FF13B4" w:rsidRPr="008639A5" w:rsidRDefault="00FF13B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6.</w:t>
            </w:r>
          </w:p>
        </w:tc>
        <w:tc>
          <w:tcPr>
            <w:tcW w:w="2070" w:type="dxa"/>
          </w:tcPr>
          <w:p w:rsidR="00FF13B4" w:rsidRPr="008639A5" w:rsidRDefault="00FF13B4" w:rsidP="008F0377">
            <w:pPr>
              <w:snapToGrid w:val="0"/>
              <w:rPr>
                <w:rFonts w:ascii="Arial" w:hAnsi="Arial" w:cs="Arial"/>
                <w:bCs/>
                <w:sz w:val="20"/>
                <w:lang w:val="id-ID"/>
              </w:rPr>
            </w:pPr>
            <w:r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t xml:space="preserve">Pemanfaatan tempat tidur (BOR = </w:t>
            </w:r>
            <w:r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lastRenderedPageBreak/>
              <w:t>Bed Occupation Rate) di 4 RS Provinsi</w:t>
            </w:r>
          </w:p>
        </w:tc>
        <w:tc>
          <w:tcPr>
            <w:tcW w:w="2158" w:type="dxa"/>
          </w:tcPr>
          <w:p w:rsidR="00FF13B4" w:rsidRPr="008639A5" w:rsidRDefault="00FF13B4" w:rsidP="008F0377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340" w:type="dxa"/>
          </w:tcPr>
          <w:p w:rsidR="00223823" w:rsidRDefault="00FF13B4" w:rsidP="00BC4B07">
            <w:pPr>
              <w:snapToGri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t xml:space="preserve">Persentase Pemanfaatan tempat </w:t>
            </w:r>
            <w:r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lastRenderedPageBreak/>
              <w:t>tidur (BOR = Bed Occupation Rate) di 4 RS Provinsi pada tahun 2015 mencapai 81% dibanding target 80%</w:t>
            </w:r>
            <w:r w:rsidR="00005A7C"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t>ri tahun 2011-&gt; 74,20%, 2012 sebesar 75,90%, tahun 2013 -&gt; 7</w:t>
            </w:r>
            <w:r w:rsidR="00143930"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t xml:space="preserve">5,87%, tahun 2014 -&gt; 80,23% </w:t>
            </w:r>
            <w:r w:rsidR="00005A7C"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t>tahun 2015 -&gt; 81</w:t>
            </w:r>
            <w:r w:rsidR="00143930" w:rsidRPr="008639A5">
              <w:rPr>
                <w:rFonts w:ascii="Arial" w:hAnsi="Arial" w:cs="Arial"/>
                <w:bCs/>
                <w:sz w:val="20"/>
                <w:szCs w:val="22"/>
              </w:rPr>
              <w:t xml:space="preserve"> % </w:t>
            </w:r>
          </w:p>
          <w:p w:rsidR="00BC4B07" w:rsidRPr="008639A5" w:rsidRDefault="00BC4B07" w:rsidP="00BC4B07">
            <w:pPr>
              <w:snapToGrid w:val="0"/>
              <w:rPr>
                <w:rFonts w:ascii="Arial" w:hAnsi="Arial" w:cs="Arial"/>
                <w:bCs/>
                <w:sz w:val="20"/>
                <w:lang w:val="id-ID"/>
              </w:rPr>
            </w:pPr>
          </w:p>
        </w:tc>
        <w:tc>
          <w:tcPr>
            <w:tcW w:w="2158" w:type="dxa"/>
          </w:tcPr>
          <w:p w:rsidR="00FF13B4" w:rsidRPr="008639A5" w:rsidRDefault="00FF13B4" w:rsidP="008F03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F13B4" w:rsidRPr="008639A5" w:rsidTr="008F0377">
        <w:tc>
          <w:tcPr>
            <w:tcW w:w="634" w:type="dxa"/>
          </w:tcPr>
          <w:p w:rsidR="00FF13B4" w:rsidRPr="008639A5" w:rsidRDefault="00FF13B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lastRenderedPageBreak/>
              <w:t>7.</w:t>
            </w:r>
          </w:p>
        </w:tc>
        <w:tc>
          <w:tcPr>
            <w:tcW w:w="2070" w:type="dxa"/>
          </w:tcPr>
          <w:p w:rsidR="00FF13B4" w:rsidRPr="008639A5" w:rsidRDefault="00FF13B4" w:rsidP="008F0377">
            <w:pPr>
              <w:tabs>
                <w:tab w:val="left" w:pos="252"/>
              </w:tabs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Menurunnya Angka Kematian Ibu melahirkan per 100.000 Kelahiran Hidup</w:t>
            </w:r>
          </w:p>
        </w:tc>
        <w:tc>
          <w:tcPr>
            <w:tcW w:w="2158" w:type="dxa"/>
          </w:tcPr>
          <w:p w:rsidR="00FF13B4" w:rsidRPr="008639A5" w:rsidRDefault="00FF13B4" w:rsidP="008F03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Jumlah Kematian Ibu pada tahun 2015 tertinggi pada Kabupaten Pasaman Barat sebanyak 17 kasus dan terendah di Kota Padang Panjang sebanyak 1 kasus</w:t>
            </w:r>
          </w:p>
          <w:p w:rsidR="00FC45EA" w:rsidRPr="008639A5" w:rsidRDefault="00FC45EA" w:rsidP="00FC45E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201</w:t>
            </w:r>
            <w:r w:rsidRPr="008639A5">
              <w:rPr>
                <w:rFonts w:ascii="Arial" w:hAnsi="Arial" w:cs="Arial"/>
                <w:sz w:val="20"/>
                <w:szCs w:val="22"/>
              </w:rPr>
              <w:t>6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tertinggi pada Kabupaten Pasaman Barat sebanyak 17 kasus dan terendah di Kota Padang Panjang sebanyak 1 kasus</w:t>
            </w:r>
          </w:p>
          <w:p w:rsidR="00FC45EA" w:rsidRPr="008639A5" w:rsidRDefault="00FC45EA" w:rsidP="008F037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FF13B4" w:rsidRPr="008639A5" w:rsidRDefault="00FF13B4" w:rsidP="00FC45EA">
            <w:pPr>
              <w:snapToGri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Jumlah Kematian Ibu selama tahun 2011 sebanyak 129 kasus, tahun 2012 sebanyak 104 kasus, tahun 2013 sebanyak 90 kasus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, tahun 2014 sebanyak 116 kasus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2015 sebanyak 110 kasu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s yang tersebar pada 19 Kab/Kot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a dan 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BC4B07">
              <w:rPr>
                <w:rFonts w:ascii="Arial" w:hAnsi="Arial" w:cs="Arial"/>
                <w:sz w:val="20"/>
                <w:szCs w:val="22"/>
              </w:rPr>
              <w:t>6</w:t>
            </w:r>
            <w:r w:rsidR="00BC4B07">
              <w:rPr>
                <w:rFonts w:ascii="Arial" w:hAnsi="Arial" w:cs="Arial"/>
                <w:sz w:val="20"/>
                <w:szCs w:val="22"/>
                <w:lang w:val="id-ID"/>
              </w:rPr>
              <w:t xml:space="preserve"> sebanyak 1</w:t>
            </w:r>
            <w:r w:rsidR="00BC4B07">
              <w:rPr>
                <w:rFonts w:ascii="Arial" w:hAnsi="Arial" w:cs="Arial"/>
                <w:sz w:val="20"/>
                <w:szCs w:val="22"/>
              </w:rPr>
              <w:t>07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kasus yang tersebar pada 19 Kab/Kota</w:t>
            </w:r>
          </w:p>
        </w:tc>
        <w:tc>
          <w:tcPr>
            <w:tcW w:w="2158" w:type="dxa"/>
          </w:tcPr>
          <w:p w:rsidR="00FF13B4" w:rsidRPr="008639A5" w:rsidRDefault="00FF13B4" w:rsidP="00CE49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Capaian penurunan Angka Kematian Ibu melahirkan per 100.000 Kelahiran Hidup dari tahun 2011-2015 mencapai 212/100.000 KH (Survey FK Unand Tahun 2008)</w:t>
            </w:r>
          </w:p>
        </w:tc>
      </w:tr>
      <w:tr w:rsidR="00FF13B4" w:rsidRPr="008639A5" w:rsidTr="008F0377">
        <w:tc>
          <w:tcPr>
            <w:tcW w:w="634" w:type="dxa"/>
          </w:tcPr>
          <w:p w:rsidR="00FF13B4" w:rsidRPr="008639A5" w:rsidRDefault="00FF13B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8.</w:t>
            </w:r>
          </w:p>
        </w:tc>
        <w:tc>
          <w:tcPr>
            <w:tcW w:w="2070" w:type="dxa"/>
          </w:tcPr>
          <w:p w:rsidR="00FF13B4" w:rsidRPr="008639A5" w:rsidRDefault="00FF13B4" w:rsidP="008F0377">
            <w:pPr>
              <w:tabs>
                <w:tab w:val="left" w:pos="252"/>
              </w:tabs>
              <w:snapToGrid w:val="0"/>
              <w:rPr>
                <w:rFonts w:ascii="Arial" w:hAnsi="Arial" w:cs="Arial"/>
                <w:sz w:val="20"/>
                <w:lang w:val="sv-SE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sv-SE"/>
              </w:rPr>
              <w:t>Menurunnya Angka Kematian Bayi per 1.000 kelahiran hidup;</w:t>
            </w:r>
          </w:p>
        </w:tc>
        <w:tc>
          <w:tcPr>
            <w:tcW w:w="2158" w:type="dxa"/>
          </w:tcPr>
          <w:p w:rsidR="00FF13B4" w:rsidRPr="008639A5" w:rsidRDefault="00FF13B4" w:rsidP="008F0377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340" w:type="dxa"/>
          </w:tcPr>
          <w:p w:rsidR="00FF13B4" w:rsidRPr="008639A5" w:rsidRDefault="00FF13B4" w:rsidP="008F0377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Capaian penurunan Angka Kematian Bayi per 1.000 Kelahiran Hidup dari tahun 2011-2015 mencapai 27/1.000 KH (Survey FK Unand Tahun 2012)</w:t>
            </w:r>
          </w:p>
        </w:tc>
        <w:tc>
          <w:tcPr>
            <w:tcW w:w="2158" w:type="dxa"/>
          </w:tcPr>
          <w:p w:rsidR="00FF13B4" w:rsidRPr="008639A5" w:rsidRDefault="00FF13B4" w:rsidP="006C4F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F13B4" w:rsidRPr="008639A5" w:rsidTr="000B28F6">
        <w:trPr>
          <w:trHeight w:val="1948"/>
        </w:trPr>
        <w:tc>
          <w:tcPr>
            <w:tcW w:w="634" w:type="dxa"/>
          </w:tcPr>
          <w:p w:rsidR="00FF13B4" w:rsidRPr="008639A5" w:rsidRDefault="00FF13B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9.</w:t>
            </w:r>
          </w:p>
        </w:tc>
        <w:tc>
          <w:tcPr>
            <w:tcW w:w="2070" w:type="dxa"/>
          </w:tcPr>
          <w:p w:rsidR="00FF13B4" w:rsidRPr="008639A5" w:rsidRDefault="00FF13B4" w:rsidP="008F0377">
            <w:pPr>
              <w:tabs>
                <w:tab w:val="left" w:pos="252"/>
              </w:tabs>
              <w:snapToGrid w:val="0"/>
              <w:spacing w:line="216" w:lineRule="auto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Angka keberhasilan pengobatan peny.TB</w:t>
            </w:r>
          </w:p>
        </w:tc>
        <w:tc>
          <w:tcPr>
            <w:tcW w:w="2158" w:type="dxa"/>
          </w:tcPr>
          <w:p w:rsidR="00FC45EA" w:rsidRPr="008639A5" w:rsidRDefault="00FF13B4" w:rsidP="006C4F84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Angka penemuan kasus baru pada tahun 2015 tertinggi 171,45% di Kab.Pesisir Selatan dan terendah 59,89% di Kota Payakumbuh.</w:t>
            </w:r>
          </w:p>
          <w:p w:rsidR="00FF13B4" w:rsidRPr="008639A5" w:rsidRDefault="00FC45EA" w:rsidP="00946F81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946F81">
              <w:rPr>
                <w:rFonts w:ascii="Arial" w:hAnsi="Arial" w:cs="Arial"/>
                <w:sz w:val="20"/>
                <w:szCs w:val="22"/>
              </w:rPr>
              <w:t>6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tertinggi di Kota</w:t>
            </w:r>
            <w:r w:rsidR="00946F81">
              <w:rPr>
                <w:rFonts w:ascii="Arial" w:hAnsi="Arial" w:cs="Arial"/>
                <w:sz w:val="20"/>
                <w:szCs w:val="22"/>
              </w:rPr>
              <w:t xml:space="preserve"> Padang Pangjang</w:t>
            </w:r>
            <w:r w:rsidR="00946F81">
              <w:rPr>
                <w:rFonts w:ascii="Arial" w:hAnsi="Arial" w:cs="Arial"/>
                <w:sz w:val="20"/>
                <w:szCs w:val="22"/>
                <w:lang w:val="id-ID"/>
              </w:rPr>
              <w:t xml:space="preserve"> sebesar </w:t>
            </w:r>
            <w:r w:rsidR="00946F81">
              <w:rPr>
                <w:rFonts w:ascii="Arial" w:hAnsi="Arial" w:cs="Arial"/>
                <w:sz w:val="20"/>
                <w:szCs w:val="22"/>
              </w:rPr>
              <w:t>155,1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% dan terendah di </w:t>
            </w:r>
            <w:r w:rsidR="00946F81">
              <w:rPr>
                <w:rFonts w:ascii="Arial" w:hAnsi="Arial" w:cs="Arial"/>
                <w:sz w:val="20"/>
                <w:szCs w:val="22"/>
              </w:rPr>
              <w:t>Bukittinggi</w:t>
            </w:r>
            <w:r w:rsidR="00946F81">
              <w:rPr>
                <w:rFonts w:ascii="Arial" w:hAnsi="Arial" w:cs="Arial"/>
                <w:sz w:val="20"/>
                <w:szCs w:val="22"/>
                <w:lang w:val="id-ID"/>
              </w:rPr>
              <w:t xml:space="preserve"> sebesar 7</w:t>
            </w:r>
            <w:r w:rsidR="00946F81">
              <w:rPr>
                <w:rFonts w:ascii="Arial" w:hAnsi="Arial" w:cs="Arial"/>
                <w:sz w:val="20"/>
                <w:szCs w:val="22"/>
              </w:rPr>
              <w:t>5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  <w:r w:rsidR="00FF13B4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</w:t>
            </w:r>
          </w:p>
        </w:tc>
        <w:tc>
          <w:tcPr>
            <w:tcW w:w="2340" w:type="dxa"/>
          </w:tcPr>
          <w:p w:rsidR="00FF13B4" w:rsidRDefault="00FF13B4" w:rsidP="000B28F6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Hasil pengobatan TB di Provinsi Sumatera Barat  menunjukkan angka yang cukup baik, karena telah mencapai angka keberhasilan pengobatan 95% tahun 2015 dari target &gt;85%</w:t>
            </w:r>
            <w:r w:rsidR="00143930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143930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143930" w:rsidRPr="008639A5">
              <w:rPr>
                <w:rFonts w:ascii="Arial" w:hAnsi="Arial" w:cs="Arial"/>
                <w:sz w:val="20"/>
                <w:szCs w:val="22"/>
              </w:rPr>
              <w:t>6</w:t>
            </w:r>
            <w:r w:rsidR="00946F81">
              <w:rPr>
                <w:rFonts w:ascii="Arial" w:hAnsi="Arial" w:cs="Arial"/>
                <w:sz w:val="20"/>
                <w:szCs w:val="22"/>
                <w:lang w:val="id-ID"/>
              </w:rPr>
              <w:t xml:space="preserve"> adalah </w:t>
            </w:r>
            <w:r w:rsidR="00946F81">
              <w:rPr>
                <w:rFonts w:ascii="Arial" w:hAnsi="Arial" w:cs="Arial"/>
                <w:sz w:val="20"/>
                <w:szCs w:val="22"/>
              </w:rPr>
              <w:t>103,54</w:t>
            </w:r>
            <w:r w:rsidR="00143930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%. Angka ini melebihi dari target </w:t>
            </w:r>
            <w:r w:rsidR="00946F81">
              <w:rPr>
                <w:rFonts w:ascii="Arial" w:hAnsi="Arial" w:cs="Arial"/>
                <w:sz w:val="20"/>
                <w:szCs w:val="22"/>
                <w:lang w:val="id-ID"/>
              </w:rPr>
              <w:t xml:space="preserve"> yang telah ditentukan, yakni </w:t>
            </w:r>
            <w:r w:rsidR="00946F81">
              <w:rPr>
                <w:rFonts w:ascii="Arial" w:hAnsi="Arial" w:cs="Arial"/>
                <w:sz w:val="20"/>
                <w:szCs w:val="22"/>
              </w:rPr>
              <w:t>90</w:t>
            </w:r>
            <w:r w:rsidR="00143930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  <w:p w:rsidR="00BC4B07" w:rsidRPr="00BC4B07" w:rsidRDefault="00BC4B07" w:rsidP="000B28F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58" w:type="dxa"/>
          </w:tcPr>
          <w:p w:rsidR="00FF13B4" w:rsidRPr="008639A5" w:rsidRDefault="00FF13B4" w:rsidP="006C4F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id-ID" w:eastAsia="id-ID"/>
              </w:rPr>
            </w:pPr>
          </w:p>
        </w:tc>
      </w:tr>
      <w:tr w:rsidR="00FF13B4" w:rsidRPr="008639A5" w:rsidTr="008F0377">
        <w:tc>
          <w:tcPr>
            <w:tcW w:w="634" w:type="dxa"/>
          </w:tcPr>
          <w:p w:rsidR="00FF13B4" w:rsidRPr="008639A5" w:rsidRDefault="00FF13B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lastRenderedPageBreak/>
              <w:t>10.</w:t>
            </w:r>
          </w:p>
        </w:tc>
        <w:tc>
          <w:tcPr>
            <w:tcW w:w="2070" w:type="dxa"/>
          </w:tcPr>
          <w:p w:rsidR="00FF13B4" w:rsidRPr="008639A5" w:rsidRDefault="00FF13B4" w:rsidP="008F0377">
            <w:pPr>
              <w:tabs>
                <w:tab w:val="left" w:pos="252"/>
              </w:tabs>
              <w:snapToGrid w:val="0"/>
              <w:spacing w:line="216" w:lineRule="auto"/>
              <w:rPr>
                <w:rFonts w:ascii="Arial" w:hAnsi="Arial" w:cs="Arial"/>
                <w:sz w:val="20"/>
                <w:lang w:val="sv-SE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sv-SE"/>
              </w:rPr>
              <w:t>API Malaria</w:t>
            </w:r>
          </w:p>
        </w:tc>
        <w:tc>
          <w:tcPr>
            <w:tcW w:w="2158" w:type="dxa"/>
          </w:tcPr>
          <w:p w:rsidR="00FF13B4" w:rsidRPr="008639A5" w:rsidRDefault="00FF13B4" w:rsidP="000B28F6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Kabupaten dan Kota dengan API tertinggi adalah Kab.Kep. Mentawai pada tahun 2015 yaitu 5,06 </w:t>
            </w:r>
          </w:p>
          <w:p w:rsidR="00FC45EA" w:rsidRPr="008639A5" w:rsidRDefault="00FC45EA" w:rsidP="000B28F6">
            <w:pPr>
              <w:snapToGri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Pr="008639A5">
              <w:rPr>
                <w:rFonts w:ascii="Arial" w:hAnsi="Arial" w:cs="Arial"/>
                <w:sz w:val="20"/>
                <w:szCs w:val="22"/>
              </w:rPr>
              <w:t>6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tertinggi di Kota Pariaman sebesar 96,8% dan terendah di Kabupaten Mentawai sebesar 70,4%</w:t>
            </w:r>
          </w:p>
        </w:tc>
        <w:tc>
          <w:tcPr>
            <w:tcW w:w="2340" w:type="dxa"/>
          </w:tcPr>
          <w:p w:rsidR="00FF13B4" w:rsidRPr="008639A5" w:rsidRDefault="00FF13B4" w:rsidP="000B28F6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</w:rPr>
              <w:t>A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ngka Annual Parasite Incidence (API) Malaria Sumatera Barat  </w:t>
            </w:r>
            <w:r w:rsidRPr="008639A5">
              <w:rPr>
                <w:rFonts w:ascii="Arial" w:hAnsi="Arial" w:cs="Arial"/>
                <w:sz w:val="20"/>
                <w:szCs w:val="22"/>
              </w:rPr>
              <w:t>pada tahun 201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5</w:t>
            </w:r>
            <w:r w:rsidRPr="008639A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mencapai 0,15 dari  target &lt; 1</w:t>
            </w:r>
            <w:r w:rsidR="00143930" w:rsidRPr="008639A5">
              <w:rPr>
                <w:rFonts w:ascii="Arial" w:hAnsi="Arial" w:cs="Arial"/>
                <w:sz w:val="20"/>
                <w:szCs w:val="22"/>
              </w:rPr>
              <w:t xml:space="preserve">, tahun 2016 </w:t>
            </w:r>
            <w:r w:rsidR="00143930" w:rsidRPr="008639A5">
              <w:rPr>
                <w:rFonts w:ascii="Arial" w:hAnsi="Arial" w:cs="Arial"/>
                <w:sz w:val="20"/>
                <w:szCs w:val="22"/>
                <w:lang w:val="id-ID"/>
              </w:rPr>
              <w:t>mencapai 0,15 dari  target &lt; 1.</w:t>
            </w:r>
          </w:p>
        </w:tc>
        <w:tc>
          <w:tcPr>
            <w:tcW w:w="2158" w:type="dxa"/>
          </w:tcPr>
          <w:p w:rsidR="00FF13B4" w:rsidRPr="008639A5" w:rsidRDefault="00FF13B4" w:rsidP="000B28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eastAsia="Calibri" w:hAnsi="Arial" w:cs="Arial"/>
                <w:sz w:val="20"/>
                <w:szCs w:val="22"/>
                <w:lang w:eastAsia="id-ID"/>
              </w:rPr>
              <w:t>Capaian API pada tahun 201</w:t>
            </w:r>
            <w:r w:rsidRPr="008639A5">
              <w:rPr>
                <w:rFonts w:ascii="Arial" w:eastAsia="Calibri" w:hAnsi="Arial" w:cs="Arial"/>
                <w:sz w:val="20"/>
                <w:szCs w:val="22"/>
                <w:lang w:val="id-ID" w:eastAsia="id-ID"/>
              </w:rPr>
              <w:t>5</w:t>
            </w:r>
            <w:r w:rsidRPr="008639A5">
              <w:rPr>
                <w:rFonts w:ascii="Arial" w:eastAsia="Calibri" w:hAnsi="Arial" w:cs="Arial"/>
                <w:sz w:val="20"/>
                <w:szCs w:val="22"/>
                <w:lang w:eastAsia="id-ID"/>
              </w:rPr>
              <w:t xml:space="preserve"> sebesar </w:t>
            </w:r>
            <w:r w:rsidRPr="008639A5">
              <w:rPr>
                <w:rFonts w:ascii="Arial" w:eastAsia="Calibri" w:hAnsi="Arial" w:cs="Arial"/>
                <w:sz w:val="20"/>
                <w:szCs w:val="22"/>
                <w:lang w:val="id-ID" w:eastAsia="id-ID"/>
              </w:rPr>
              <w:t>0,15 per 1.000 penduduk.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tahun 201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>6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dari target 85% dengan capaian 85,1%</w:t>
            </w:r>
          </w:p>
        </w:tc>
      </w:tr>
      <w:tr w:rsidR="00FF13B4" w:rsidRPr="008639A5" w:rsidTr="008F0377">
        <w:tc>
          <w:tcPr>
            <w:tcW w:w="634" w:type="dxa"/>
          </w:tcPr>
          <w:p w:rsidR="00FF13B4" w:rsidRPr="008639A5" w:rsidRDefault="00FF13B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11.</w:t>
            </w:r>
          </w:p>
        </w:tc>
        <w:tc>
          <w:tcPr>
            <w:tcW w:w="2070" w:type="dxa"/>
          </w:tcPr>
          <w:p w:rsidR="00FF13B4" w:rsidRPr="008639A5" w:rsidRDefault="00FF13B4" w:rsidP="008A7E37">
            <w:pPr>
              <w:tabs>
                <w:tab w:val="left" w:pos="252"/>
              </w:tabs>
              <w:snapToGrid w:val="0"/>
              <w:spacing w:line="216" w:lineRule="auto"/>
              <w:rPr>
                <w:rFonts w:ascii="Arial" w:hAnsi="Arial" w:cs="Arial"/>
                <w:sz w:val="20"/>
                <w:lang w:val="sv-SE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Persentase O</w:t>
            </w:r>
            <w:r w:rsidRPr="008639A5">
              <w:rPr>
                <w:rFonts w:ascii="Arial" w:hAnsi="Arial" w:cs="Arial"/>
                <w:sz w:val="20"/>
                <w:szCs w:val="22"/>
                <w:lang w:val="sv-SE"/>
              </w:rPr>
              <w:t>DHA yang mendapatkan ARV</w:t>
            </w:r>
          </w:p>
        </w:tc>
        <w:tc>
          <w:tcPr>
            <w:tcW w:w="2158" w:type="dxa"/>
          </w:tcPr>
          <w:p w:rsidR="00FF13B4" w:rsidRPr="008639A5" w:rsidRDefault="00FF13B4" w:rsidP="008F0377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Pelayanan ODHA yang mendapat ARV tidak berbasis kab/ko, namun berbasis layanan rumah sakit</w:t>
            </w:r>
          </w:p>
        </w:tc>
        <w:tc>
          <w:tcPr>
            <w:tcW w:w="2340" w:type="dxa"/>
          </w:tcPr>
          <w:p w:rsidR="00FF13B4" w:rsidRPr="008639A5" w:rsidRDefault="00FF13B4" w:rsidP="008A7E37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t>ODHA</w:t>
            </w:r>
            <w:r w:rsidR="00FC45EA"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t xml:space="preserve"> yang mendapat ARV di tahun 201</w:t>
            </w:r>
            <w:r w:rsidR="00143930" w:rsidRPr="008639A5">
              <w:rPr>
                <w:rFonts w:ascii="Arial" w:hAnsi="Arial" w:cs="Arial"/>
                <w:bCs/>
                <w:sz w:val="20"/>
                <w:szCs w:val="22"/>
              </w:rPr>
              <w:t>5</w:t>
            </w:r>
            <w:r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t xml:space="preserve"> sebesar 100%</w:t>
            </w:r>
            <w:r w:rsidR="00143930" w:rsidRPr="008639A5">
              <w:rPr>
                <w:rFonts w:ascii="Arial" w:hAnsi="Arial" w:cs="Arial"/>
                <w:bCs/>
                <w:sz w:val="20"/>
                <w:szCs w:val="22"/>
              </w:rPr>
              <w:t xml:space="preserve">, </w:t>
            </w:r>
            <w:r w:rsidR="00143930"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t>di tahun 201</w:t>
            </w:r>
            <w:r w:rsidR="00143930" w:rsidRPr="008639A5">
              <w:rPr>
                <w:rFonts w:ascii="Arial" w:hAnsi="Arial" w:cs="Arial"/>
                <w:bCs/>
                <w:sz w:val="20"/>
                <w:szCs w:val="22"/>
              </w:rPr>
              <w:t>6 juga</w:t>
            </w:r>
            <w:r w:rsidR="00143930" w:rsidRPr="008639A5">
              <w:rPr>
                <w:rFonts w:ascii="Arial" w:hAnsi="Arial" w:cs="Arial"/>
                <w:bCs/>
                <w:sz w:val="20"/>
                <w:szCs w:val="22"/>
                <w:lang w:val="id-ID"/>
              </w:rPr>
              <w:t xml:space="preserve"> sebesar 100%</w:t>
            </w:r>
          </w:p>
        </w:tc>
        <w:tc>
          <w:tcPr>
            <w:tcW w:w="2158" w:type="dxa"/>
          </w:tcPr>
          <w:p w:rsidR="00FF13B4" w:rsidRPr="008639A5" w:rsidRDefault="00FF13B4" w:rsidP="001439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id-ID" w:eastAsia="id-ID"/>
              </w:rPr>
            </w:pPr>
            <w:r w:rsidRPr="008639A5">
              <w:rPr>
                <w:rFonts w:ascii="Arial" w:eastAsia="Calibri" w:hAnsi="Arial" w:cs="Arial"/>
                <w:sz w:val="20"/>
                <w:szCs w:val="22"/>
                <w:lang w:val="id-ID" w:eastAsia="id-ID"/>
              </w:rPr>
              <w:t>Capaian ODHA yang</w:t>
            </w:r>
            <w:r w:rsidR="00FC45EA" w:rsidRPr="008639A5">
              <w:rPr>
                <w:rFonts w:ascii="Arial" w:eastAsia="Calibri" w:hAnsi="Arial" w:cs="Arial"/>
                <w:sz w:val="20"/>
                <w:szCs w:val="22"/>
                <w:lang w:val="id-ID" w:eastAsia="id-ID"/>
              </w:rPr>
              <w:t xml:space="preserve"> memperoleh ARV </w:t>
            </w:r>
            <w:r w:rsidR="00143930" w:rsidRPr="008639A5">
              <w:rPr>
                <w:rFonts w:ascii="Arial" w:eastAsia="Calibri" w:hAnsi="Arial" w:cs="Arial"/>
                <w:sz w:val="20"/>
                <w:szCs w:val="22"/>
                <w:lang w:val="id-ID" w:eastAsia="id-ID"/>
              </w:rPr>
              <w:t>tahun 201</w:t>
            </w:r>
            <w:r w:rsidR="00143930" w:rsidRPr="008639A5">
              <w:rPr>
                <w:rFonts w:ascii="Arial" w:eastAsia="Calibri" w:hAnsi="Arial" w:cs="Arial"/>
                <w:sz w:val="20"/>
                <w:szCs w:val="22"/>
                <w:lang w:eastAsia="id-ID"/>
              </w:rPr>
              <w:t>5</w:t>
            </w:r>
            <w:r w:rsidR="00143930" w:rsidRPr="008639A5">
              <w:rPr>
                <w:rFonts w:ascii="Arial" w:eastAsia="Calibri" w:hAnsi="Arial" w:cs="Arial"/>
                <w:sz w:val="20"/>
                <w:szCs w:val="22"/>
                <w:lang w:val="id-ID" w:eastAsia="id-ID"/>
              </w:rPr>
              <w:t xml:space="preserve"> capaiannya adalah 100%</w:t>
            </w:r>
            <w:r w:rsidR="00143930" w:rsidRPr="008639A5">
              <w:rPr>
                <w:rFonts w:ascii="Arial" w:eastAsia="Calibri" w:hAnsi="Arial" w:cs="Arial"/>
                <w:sz w:val="20"/>
                <w:szCs w:val="22"/>
                <w:lang w:eastAsia="id-ID"/>
              </w:rPr>
              <w:t xml:space="preserve"> dan </w:t>
            </w:r>
            <w:r w:rsidR="00FC45EA" w:rsidRPr="008639A5">
              <w:rPr>
                <w:rFonts w:ascii="Arial" w:eastAsia="Calibri" w:hAnsi="Arial" w:cs="Arial"/>
                <w:sz w:val="20"/>
                <w:szCs w:val="22"/>
                <w:lang w:val="id-ID" w:eastAsia="id-ID"/>
              </w:rPr>
              <w:t>tahun 201</w:t>
            </w:r>
            <w:r w:rsidR="00FC45EA" w:rsidRPr="008639A5">
              <w:rPr>
                <w:rFonts w:ascii="Arial" w:eastAsia="Calibri" w:hAnsi="Arial" w:cs="Arial"/>
                <w:sz w:val="20"/>
                <w:szCs w:val="22"/>
                <w:lang w:eastAsia="id-ID"/>
              </w:rPr>
              <w:t>6</w:t>
            </w:r>
            <w:r w:rsidRPr="008639A5">
              <w:rPr>
                <w:rFonts w:ascii="Arial" w:eastAsia="Calibri" w:hAnsi="Arial" w:cs="Arial"/>
                <w:sz w:val="20"/>
                <w:szCs w:val="22"/>
                <w:lang w:val="id-ID" w:eastAsia="id-ID"/>
              </w:rPr>
              <w:t xml:space="preserve"> capaiannya</w:t>
            </w:r>
            <w:r w:rsidR="00143930" w:rsidRPr="008639A5">
              <w:rPr>
                <w:rFonts w:ascii="Arial" w:eastAsia="Calibri" w:hAnsi="Arial" w:cs="Arial"/>
                <w:sz w:val="20"/>
                <w:szCs w:val="22"/>
                <w:lang w:eastAsia="id-ID"/>
              </w:rPr>
              <w:t xml:space="preserve"> juga</w:t>
            </w:r>
            <w:r w:rsidRPr="008639A5">
              <w:rPr>
                <w:rFonts w:ascii="Arial" w:eastAsia="Calibri" w:hAnsi="Arial" w:cs="Arial"/>
                <w:sz w:val="20"/>
                <w:szCs w:val="22"/>
                <w:lang w:val="id-ID" w:eastAsia="id-ID"/>
              </w:rPr>
              <w:t xml:space="preserve"> 100%</w:t>
            </w:r>
          </w:p>
        </w:tc>
      </w:tr>
      <w:tr w:rsidR="00FF13B4" w:rsidRPr="008639A5" w:rsidTr="008F0377">
        <w:trPr>
          <w:trHeight w:val="336"/>
        </w:trPr>
        <w:tc>
          <w:tcPr>
            <w:tcW w:w="634" w:type="dxa"/>
          </w:tcPr>
          <w:p w:rsidR="00FF13B4" w:rsidRPr="008639A5" w:rsidRDefault="00FF13B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12.</w:t>
            </w:r>
          </w:p>
        </w:tc>
        <w:tc>
          <w:tcPr>
            <w:tcW w:w="2070" w:type="dxa"/>
          </w:tcPr>
          <w:p w:rsidR="00FF13B4" w:rsidRPr="008639A5" w:rsidRDefault="00FF13B4" w:rsidP="008F0377">
            <w:pPr>
              <w:tabs>
                <w:tab w:val="left" w:pos="252"/>
              </w:tabs>
              <w:snapToGrid w:val="0"/>
              <w:rPr>
                <w:rFonts w:ascii="Arial" w:hAnsi="Arial" w:cs="Arial"/>
                <w:sz w:val="20"/>
                <w:lang w:val="es-ES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>Meningkatnya cakupan immunisasi dasar lengkap bayi usia 0-11 bulan ;</w:t>
            </w:r>
          </w:p>
        </w:tc>
        <w:tc>
          <w:tcPr>
            <w:tcW w:w="2158" w:type="dxa"/>
          </w:tcPr>
          <w:p w:rsidR="00FF13B4" w:rsidRPr="008639A5" w:rsidRDefault="00FF13B4" w:rsidP="008F03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Cakupan immunisasi dasar lengkap bayi usia 0-11 bulan pada tahun 2015 tertinggi 96,41% di Kota Pariaman dan terendah 50,57% di Kab.Kep.Mentawai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>,</w:t>
            </w:r>
          </w:p>
          <w:p w:rsidR="00FC45EA" w:rsidRPr="008639A5" w:rsidRDefault="00FC45EA" w:rsidP="00946F81">
            <w:pPr>
              <w:snapToGri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Pr="008639A5">
              <w:rPr>
                <w:rFonts w:ascii="Arial" w:hAnsi="Arial" w:cs="Arial"/>
                <w:sz w:val="20"/>
                <w:szCs w:val="22"/>
              </w:rPr>
              <w:t>6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tertinggi di</w:t>
            </w:r>
            <w:r w:rsidR="00946F8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D0CAD">
              <w:rPr>
                <w:rFonts w:ascii="Arial" w:hAnsi="Arial" w:cs="Arial"/>
                <w:sz w:val="20"/>
                <w:szCs w:val="22"/>
              </w:rPr>
              <w:t xml:space="preserve">Kab. </w:t>
            </w:r>
            <w:r w:rsidR="00946F81">
              <w:rPr>
                <w:rFonts w:ascii="Arial" w:hAnsi="Arial" w:cs="Arial"/>
                <w:sz w:val="20"/>
                <w:szCs w:val="22"/>
              </w:rPr>
              <w:t>SolokSelatan</w:t>
            </w:r>
            <w:r w:rsidR="00946F81">
              <w:rPr>
                <w:rFonts w:ascii="Arial" w:hAnsi="Arial" w:cs="Arial"/>
                <w:sz w:val="20"/>
                <w:szCs w:val="22"/>
                <w:lang w:val="id-ID"/>
              </w:rPr>
              <w:t xml:space="preserve"> sebesar 9</w:t>
            </w:r>
            <w:r w:rsidR="00946F81">
              <w:rPr>
                <w:rFonts w:ascii="Arial" w:hAnsi="Arial" w:cs="Arial"/>
                <w:sz w:val="20"/>
                <w:szCs w:val="22"/>
              </w:rPr>
              <w:t>4,6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 dan terendah di Kabupaten</w:t>
            </w:r>
            <w:r w:rsidR="00946F81">
              <w:rPr>
                <w:rFonts w:ascii="Arial" w:hAnsi="Arial" w:cs="Arial"/>
                <w:sz w:val="20"/>
                <w:szCs w:val="22"/>
              </w:rPr>
              <w:t xml:space="preserve">  Pesisir Selatan</w:t>
            </w:r>
            <w:r w:rsidR="00946F81">
              <w:rPr>
                <w:rFonts w:ascii="Arial" w:hAnsi="Arial" w:cs="Arial"/>
                <w:sz w:val="20"/>
                <w:szCs w:val="22"/>
                <w:lang w:val="id-ID"/>
              </w:rPr>
              <w:t xml:space="preserve"> sebesar 7</w:t>
            </w:r>
            <w:r w:rsidR="00946F81">
              <w:rPr>
                <w:rFonts w:ascii="Arial" w:hAnsi="Arial" w:cs="Arial"/>
                <w:sz w:val="20"/>
                <w:szCs w:val="22"/>
              </w:rPr>
              <w:t>6,5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  <w:tc>
          <w:tcPr>
            <w:tcW w:w="2340" w:type="dxa"/>
          </w:tcPr>
          <w:p w:rsidR="00FF13B4" w:rsidRPr="008639A5" w:rsidRDefault="00FF13B4" w:rsidP="00555562">
            <w:pPr>
              <w:snapToGrid w:val="0"/>
              <w:rPr>
                <w:rFonts w:ascii="Arial" w:hAnsi="Arial" w:cs="Arial"/>
                <w:bCs/>
                <w:sz w:val="20"/>
                <w:lang w:val="es-ES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Capaian cakupan immunisasi dasar lengkap bayi usia 0-11 bulan di Provinsi Sumatera Barat pada tahun 2015 sebesar 74,46 % dari target 100%</w:t>
            </w:r>
            <w:r w:rsidR="00555562" w:rsidRPr="008639A5">
              <w:rPr>
                <w:rFonts w:ascii="Arial" w:hAnsi="Arial" w:cs="Arial"/>
                <w:sz w:val="20"/>
                <w:szCs w:val="22"/>
              </w:rPr>
              <w:t>,</w:t>
            </w:r>
            <w:r w:rsidR="00143930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tahun 201</w:t>
            </w:r>
            <w:r w:rsidR="00143930" w:rsidRPr="008639A5">
              <w:rPr>
                <w:rFonts w:ascii="Arial" w:hAnsi="Arial" w:cs="Arial"/>
                <w:sz w:val="20"/>
                <w:szCs w:val="22"/>
              </w:rPr>
              <w:t>6</w:t>
            </w:r>
            <w:r w:rsidR="00946F81">
              <w:rPr>
                <w:rFonts w:ascii="Arial" w:hAnsi="Arial" w:cs="Arial"/>
                <w:sz w:val="20"/>
                <w:szCs w:val="22"/>
                <w:lang w:val="id-ID"/>
              </w:rPr>
              <w:t xml:space="preserve"> sebesar </w:t>
            </w:r>
            <w:r w:rsidR="00946F81">
              <w:rPr>
                <w:rFonts w:ascii="Arial" w:hAnsi="Arial" w:cs="Arial"/>
                <w:sz w:val="20"/>
                <w:szCs w:val="22"/>
              </w:rPr>
              <w:t>82,85</w:t>
            </w:r>
            <w:r w:rsidR="00143930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% dari target 100%.</w:t>
            </w:r>
          </w:p>
        </w:tc>
        <w:tc>
          <w:tcPr>
            <w:tcW w:w="2158" w:type="dxa"/>
          </w:tcPr>
          <w:p w:rsidR="00FF13B4" w:rsidRPr="008639A5" w:rsidRDefault="00FF13B4" w:rsidP="002838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 xml:space="preserve">Cakupan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immunisasi dasar lengkap bayi usia 0-11 bulan sejak tahun 2011 dengan target 80% capaian 89%, tahun 2012 dengan target 85% capaian 89%, tahun 2013 dengan target 90% capaian 91%, tahun 2014 dari target 95% dengan capaian 83,7%, tahun 2015 dari target 100% dengan capaian 74,46%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>6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dar</w:t>
            </w:r>
            <w:r w:rsidR="00946F81">
              <w:rPr>
                <w:rFonts w:ascii="Arial" w:hAnsi="Arial" w:cs="Arial"/>
                <w:sz w:val="20"/>
                <w:szCs w:val="22"/>
                <w:lang w:val="id-ID"/>
              </w:rPr>
              <w:t>i target 85% dengan capaian 8</w:t>
            </w:r>
            <w:r w:rsidR="00946F81">
              <w:rPr>
                <w:rFonts w:ascii="Arial" w:hAnsi="Arial" w:cs="Arial"/>
                <w:sz w:val="20"/>
                <w:szCs w:val="22"/>
              </w:rPr>
              <w:t>2,85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</w:tr>
      <w:tr w:rsidR="00FF13B4" w:rsidRPr="008639A5" w:rsidTr="008F0377">
        <w:tc>
          <w:tcPr>
            <w:tcW w:w="634" w:type="dxa"/>
          </w:tcPr>
          <w:p w:rsidR="00FF13B4" w:rsidRPr="008639A5" w:rsidRDefault="00FF13B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13.</w:t>
            </w:r>
          </w:p>
        </w:tc>
        <w:tc>
          <w:tcPr>
            <w:tcW w:w="2070" w:type="dxa"/>
          </w:tcPr>
          <w:p w:rsidR="00FF13B4" w:rsidRPr="008639A5" w:rsidRDefault="00FF13B4" w:rsidP="008F0377">
            <w:pPr>
              <w:tabs>
                <w:tab w:val="left" w:pos="252"/>
              </w:tabs>
              <w:snapToGri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Persentase</w:t>
            </w:r>
            <w:r w:rsidRPr="008639A5">
              <w:rPr>
                <w:rFonts w:ascii="Arial" w:hAnsi="Arial" w:cs="Arial"/>
                <w:sz w:val="20"/>
                <w:szCs w:val="22"/>
              </w:rPr>
              <w:t xml:space="preserve"> penduduk yang memiliki Jaminan Kesehatan</w:t>
            </w:r>
          </w:p>
        </w:tc>
        <w:tc>
          <w:tcPr>
            <w:tcW w:w="2158" w:type="dxa"/>
          </w:tcPr>
          <w:p w:rsidR="00FC45EA" w:rsidRPr="008639A5" w:rsidRDefault="00FF13B4" w:rsidP="00FC45E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Jumlah kepesertaan </w:t>
            </w:r>
            <w:r w:rsidR="004F6943">
              <w:rPr>
                <w:rFonts w:ascii="Arial" w:hAnsi="Arial" w:cs="Arial"/>
                <w:sz w:val="20"/>
                <w:szCs w:val="22"/>
              </w:rPr>
              <w:t xml:space="preserve">JKSS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Kabupaten/Kota sampai dengan tahun 2015 sebanyak 711.906 jiwa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Jumlah kepesertaan Kabupat</w:t>
            </w:r>
            <w:r w:rsidR="004F6943">
              <w:rPr>
                <w:rFonts w:ascii="Arial" w:hAnsi="Arial" w:cs="Arial"/>
                <w:sz w:val="20"/>
                <w:szCs w:val="22"/>
                <w:lang w:val="id-ID"/>
              </w:rPr>
              <w:t>en/Kota sampai dengan tahun 201</w:t>
            </w:r>
            <w:r w:rsidR="004F6943">
              <w:rPr>
                <w:rFonts w:ascii="Arial" w:hAnsi="Arial" w:cs="Arial"/>
                <w:sz w:val="20"/>
                <w:szCs w:val="22"/>
              </w:rPr>
              <w:t>7</w:t>
            </w:r>
            <w:r w:rsidR="004F6943">
              <w:rPr>
                <w:rFonts w:ascii="Arial" w:hAnsi="Arial" w:cs="Arial"/>
                <w:sz w:val="20"/>
                <w:szCs w:val="22"/>
                <w:lang w:val="id-ID"/>
              </w:rPr>
              <w:t xml:space="preserve"> sebanyak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</w:t>
            </w:r>
            <w:r w:rsidR="004F6943">
              <w:rPr>
                <w:rFonts w:ascii="Arial" w:hAnsi="Arial" w:cs="Arial"/>
                <w:sz w:val="20"/>
                <w:szCs w:val="22"/>
              </w:rPr>
              <w:t xml:space="preserve">615.923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jiwa</w:t>
            </w:r>
          </w:p>
          <w:p w:rsidR="00FF13B4" w:rsidRPr="008639A5" w:rsidRDefault="00FF13B4" w:rsidP="008F03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  <w:p w:rsidR="00FC45EA" w:rsidRPr="008639A5" w:rsidRDefault="00FC45EA" w:rsidP="008F037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FF13B4" w:rsidRPr="008639A5" w:rsidRDefault="00FF13B4" w:rsidP="00C948B0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lastRenderedPageBreak/>
              <w:t>Sampai dengan akhir tahun 2015 masyarakat Sumatera Barat yang telah tercover dalam program jaminan kesehatan sebanyak 75,55% dibandingkan dengan  target 84,34%.</w:t>
            </w:r>
          </w:p>
          <w:p w:rsidR="00FC45EA" w:rsidRPr="008639A5" w:rsidRDefault="00FC45EA" w:rsidP="00C948B0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5D0CAD">
              <w:rPr>
                <w:rFonts w:ascii="Arial" w:hAnsi="Arial" w:cs="Arial"/>
                <w:sz w:val="20"/>
                <w:szCs w:val="22"/>
              </w:rPr>
              <w:t>7</w:t>
            </w:r>
            <w:r w:rsidR="005D0CAD">
              <w:rPr>
                <w:rFonts w:ascii="Arial" w:hAnsi="Arial" w:cs="Arial"/>
                <w:sz w:val="20"/>
                <w:szCs w:val="22"/>
                <w:lang w:val="id-ID"/>
              </w:rPr>
              <w:t xml:space="preserve"> dari target </w:t>
            </w:r>
            <w:r w:rsidR="005D0CAD">
              <w:rPr>
                <w:rFonts w:ascii="Arial" w:hAnsi="Arial" w:cs="Arial"/>
                <w:sz w:val="20"/>
                <w:szCs w:val="22"/>
              </w:rPr>
              <w:t>70</w:t>
            </w:r>
            <w:r w:rsidR="005D0CAD">
              <w:rPr>
                <w:rFonts w:ascii="Arial" w:hAnsi="Arial" w:cs="Arial"/>
                <w:sz w:val="20"/>
                <w:szCs w:val="22"/>
                <w:lang w:val="id-ID"/>
              </w:rPr>
              <w:t xml:space="preserve">% dengan capaian </w:t>
            </w:r>
            <w:r w:rsidR="005D0CAD">
              <w:rPr>
                <w:rFonts w:ascii="Arial" w:hAnsi="Arial" w:cs="Arial"/>
                <w:sz w:val="20"/>
                <w:szCs w:val="22"/>
              </w:rPr>
              <w:t>69,14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  <w:tc>
          <w:tcPr>
            <w:tcW w:w="2158" w:type="dxa"/>
          </w:tcPr>
          <w:p w:rsidR="00FF13B4" w:rsidRPr="008639A5" w:rsidRDefault="00FF13B4" w:rsidP="008F03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Target cakupan masyarakat yang mendapat perlindungan</w:t>
            </w:r>
          </w:p>
          <w:p w:rsidR="00FF13B4" w:rsidRPr="008639A5" w:rsidRDefault="00FF13B4" w:rsidP="00F60F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jaminan kesehatan dari tahun 2011 sebesar 53,8% dari target 63,80% tahun 2012 sebesar 65,07% dari target 78%, tahun 2013 sebesar 70,16% dari 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lastRenderedPageBreak/>
              <w:t>target 78%, tahun 2014 sebesar 73,52% dari target 80,44% dan tahun 2015 sebesar 75,55% dari target 84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>,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34%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tahun 201</w:t>
            </w:r>
            <w:r w:rsidR="004F6943">
              <w:rPr>
                <w:rFonts w:ascii="Arial" w:hAnsi="Arial" w:cs="Arial"/>
                <w:sz w:val="20"/>
                <w:szCs w:val="22"/>
              </w:rPr>
              <w:t>7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dari target 85</w:t>
            </w:r>
            <w:r w:rsidR="004F6943">
              <w:rPr>
                <w:rFonts w:ascii="Arial" w:hAnsi="Arial" w:cs="Arial"/>
                <w:sz w:val="20"/>
                <w:szCs w:val="22"/>
                <w:lang w:val="id-ID"/>
              </w:rPr>
              <w:t xml:space="preserve">% dengan capaian </w:t>
            </w:r>
            <w:r w:rsidR="004F6943">
              <w:rPr>
                <w:rFonts w:ascii="Arial" w:hAnsi="Arial" w:cs="Arial"/>
                <w:sz w:val="20"/>
                <w:szCs w:val="22"/>
              </w:rPr>
              <w:t>69,14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</w:t>
            </w:r>
          </w:p>
        </w:tc>
      </w:tr>
      <w:tr w:rsidR="00FF13B4" w:rsidRPr="008639A5" w:rsidTr="008F0377">
        <w:tc>
          <w:tcPr>
            <w:tcW w:w="634" w:type="dxa"/>
          </w:tcPr>
          <w:p w:rsidR="00FF13B4" w:rsidRPr="008639A5" w:rsidRDefault="00FF13B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lastRenderedPageBreak/>
              <w:t>14.</w:t>
            </w:r>
          </w:p>
        </w:tc>
        <w:tc>
          <w:tcPr>
            <w:tcW w:w="2070" w:type="dxa"/>
          </w:tcPr>
          <w:p w:rsidR="00FF13B4" w:rsidRPr="008639A5" w:rsidRDefault="00FF13B4" w:rsidP="008F0377">
            <w:pPr>
              <w:tabs>
                <w:tab w:val="left" w:pos="252"/>
              </w:tabs>
              <w:snapToGrid w:val="0"/>
              <w:rPr>
                <w:rFonts w:ascii="Arial" w:hAnsi="Arial" w:cs="Arial"/>
                <w:sz w:val="20"/>
                <w:lang w:val="es-ES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es-ES"/>
              </w:rPr>
              <w:t>Angka Gizi Kurang (BB/TB);</w:t>
            </w:r>
          </w:p>
        </w:tc>
        <w:tc>
          <w:tcPr>
            <w:tcW w:w="2158" w:type="dxa"/>
          </w:tcPr>
          <w:p w:rsidR="00FF13B4" w:rsidRPr="008639A5" w:rsidRDefault="00FF13B4" w:rsidP="008F0377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340" w:type="dxa"/>
          </w:tcPr>
          <w:p w:rsidR="00FF13B4" w:rsidRPr="008639A5" w:rsidRDefault="00FF13B4" w:rsidP="00CA3CB3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Penurunan angka gizi kurang (BB/TB) dari tahun 2011 dengan target 8,2% dengan capaian 8,2%, tahun 2012 dengan target 7,8% dengan capaian 7,2%, tahun 2013 dengan target 7,4% dengan capaian 6,5%, tahun 2014 dengan target 7% dengan capaian 5,9%, tahun 2015 dengan target 6,6% dengan capaian 4,8%,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tahun 201</w:t>
            </w:r>
            <w:r w:rsidR="004F6943">
              <w:rPr>
                <w:rFonts w:ascii="Arial" w:hAnsi="Arial" w:cs="Arial"/>
                <w:sz w:val="20"/>
                <w:szCs w:val="22"/>
              </w:rPr>
              <w:t>7</w:t>
            </w:r>
            <w:r w:rsidR="004F6943">
              <w:rPr>
                <w:rFonts w:ascii="Arial" w:hAnsi="Arial" w:cs="Arial"/>
                <w:sz w:val="20"/>
                <w:szCs w:val="22"/>
                <w:lang w:val="id-ID"/>
              </w:rPr>
              <w:t xml:space="preserve"> dari target </w:t>
            </w:r>
            <w:r w:rsidR="004F6943">
              <w:rPr>
                <w:rFonts w:ascii="Arial" w:hAnsi="Arial" w:cs="Arial"/>
                <w:sz w:val="20"/>
                <w:szCs w:val="22"/>
              </w:rPr>
              <w:t>6,3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% d</w:t>
            </w:r>
            <w:r w:rsidR="004F6943">
              <w:rPr>
                <w:rFonts w:ascii="Arial" w:hAnsi="Arial" w:cs="Arial"/>
                <w:sz w:val="20"/>
                <w:szCs w:val="22"/>
                <w:lang w:val="id-ID"/>
              </w:rPr>
              <w:t xml:space="preserve">engan capaian 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>5,1%</w:t>
            </w:r>
          </w:p>
          <w:p w:rsidR="00FF13B4" w:rsidRPr="008639A5" w:rsidRDefault="00FF13B4" w:rsidP="008F0377">
            <w:pPr>
              <w:snapToGrid w:val="0"/>
              <w:rPr>
                <w:rFonts w:ascii="Arial" w:hAnsi="Arial" w:cs="Arial"/>
                <w:bCs/>
                <w:sz w:val="20"/>
                <w:lang w:val="id-ID"/>
              </w:rPr>
            </w:pPr>
          </w:p>
        </w:tc>
        <w:tc>
          <w:tcPr>
            <w:tcW w:w="2158" w:type="dxa"/>
          </w:tcPr>
          <w:p w:rsidR="00FF13B4" w:rsidRPr="008639A5" w:rsidRDefault="00FF13B4" w:rsidP="00CA3CB3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FF13B4" w:rsidRPr="008639A5" w:rsidTr="008F0377">
        <w:tc>
          <w:tcPr>
            <w:tcW w:w="634" w:type="dxa"/>
          </w:tcPr>
          <w:p w:rsidR="00FF13B4" w:rsidRPr="008639A5" w:rsidRDefault="00FF13B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15.</w:t>
            </w:r>
          </w:p>
        </w:tc>
        <w:tc>
          <w:tcPr>
            <w:tcW w:w="2070" w:type="dxa"/>
          </w:tcPr>
          <w:p w:rsidR="00FF13B4" w:rsidRPr="008639A5" w:rsidRDefault="00FF13B4" w:rsidP="008F0377">
            <w:pPr>
              <w:spacing w:line="288" w:lineRule="auto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Ratio Dokter dengan jumlah penduduk  1 : 2.500</w:t>
            </w:r>
          </w:p>
        </w:tc>
        <w:tc>
          <w:tcPr>
            <w:tcW w:w="2158" w:type="dxa"/>
          </w:tcPr>
          <w:p w:rsidR="00FF13B4" w:rsidRPr="008639A5" w:rsidRDefault="00FF13B4" w:rsidP="004F6943">
            <w:pPr>
              <w:snapToGri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Penyebaran Dokter pada tahun 2015 tertinggi terdapat di Kota Padang dan terendah di Kab.Kep.Mentawai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</w:tc>
        <w:tc>
          <w:tcPr>
            <w:tcW w:w="2340" w:type="dxa"/>
          </w:tcPr>
          <w:p w:rsidR="00FF13B4" w:rsidRPr="008639A5" w:rsidRDefault="00FF13B4" w:rsidP="004F6943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Persentase Rasio Dokter di Provinsi Sumatera Barat pada tahun 2011 dengan terget 40% dan capaian 51,02%, tahun 2012 dengan terget 50% dan capaian 51,67%, tahun 2013 dengan terget 60% dan capaian 60,45%, tahun 2014 dengan terget 70% dan capaian 83,98%, tahun 2015 dengan terget 80% dan capaian 86,04%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</w:tc>
        <w:tc>
          <w:tcPr>
            <w:tcW w:w="2158" w:type="dxa"/>
          </w:tcPr>
          <w:p w:rsidR="00FF13B4" w:rsidRPr="008639A5" w:rsidRDefault="00FF13B4" w:rsidP="005F7D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,</w:t>
            </w:r>
          </w:p>
        </w:tc>
      </w:tr>
      <w:tr w:rsidR="00FF13B4" w:rsidRPr="008639A5" w:rsidTr="008F0377">
        <w:trPr>
          <w:trHeight w:val="1878"/>
        </w:trPr>
        <w:tc>
          <w:tcPr>
            <w:tcW w:w="634" w:type="dxa"/>
            <w:tcBorders>
              <w:bottom w:val="single" w:sz="4" w:space="0" w:color="auto"/>
            </w:tcBorders>
          </w:tcPr>
          <w:p w:rsidR="00FF13B4" w:rsidRPr="008639A5" w:rsidRDefault="00FF13B4" w:rsidP="008F0377">
            <w:pPr>
              <w:snapToGrid w:val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lastRenderedPageBreak/>
              <w:t>16.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F13B4" w:rsidRPr="008639A5" w:rsidRDefault="00FF13B4" w:rsidP="008F0377">
            <w:pPr>
              <w:tabs>
                <w:tab w:val="left" w:pos="252"/>
              </w:tabs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Ratio Bidan dengan jumlah penduduk   1 : 1.300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FF13B4" w:rsidRPr="008639A5" w:rsidRDefault="00FF13B4" w:rsidP="004F6943">
            <w:pPr>
              <w:snapToGrid w:val="0"/>
              <w:rPr>
                <w:rFonts w:ascii="Arial" w:hAnsi="Arial" w:cs="Arial"/>
                <w:sz w:val="20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Penyebaran 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>Bidan</w:t>
            </w: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pada tahun 2015 tertinggi terdapat di Kota Padang dan terendah di Kab.Kep.Mentawai</w:t>
            </w:r>
            <w:r w:rsidR="00FC45EA" w:rsidRPr="008639A5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F13B4" w:rsidRPr="008639A5" w:rsidRDefault="00FF13B4" w:rsidP="004F6943">
            <w:pPr>
              <w:snapToGrid w:val="0"/>
              <w:rPr>
                <w:rFonts w:ascii="Arial" w:hAnsi="Arial" w:cs="Arial"/>
                <w:bCs/>
                <w:sz w:val="20"/>
                <w:lang w:val="id-ID"/>
              </w:rPr>
            </w:pPr>
            <w:r w:rsidRPr="008639A5">
              <w:rPr>
                <w:rFonts w:ascii="Arial" w:hAnsi="Arial" w:cs="Arial"/>
                <w:sz w:val="20"/>
                <w:szCs w:val="22"/>
                <w:lang w:val="id-ID"/>
              </w:rPr>
              <w:t>Persentase Rasio Bidan di Provinsi Sumatera Barat pada tahun 2011 dengan terget 70% dan capaian 117,11%, tahun 2012 dengan terget 75% dan capaian 112,59%, tahun 2013 dengan terget 80% dan capaian 118,4% tahun 2014 dengan terget 85% dan capaian 117,18%, tahun 2015 dengan terget 90% dan capaian 124,6%,</w:t>
            </w:r>
            <w:r w:rsidR="00FC45EA" w:rsidRPr="008639A5">
              <w:rPr>
                <w:rFonts w:ascii="Arial" w:hAnsi="Arial" w:cs="Arial"/>
                <w:sz w:val="20"/>
                <w:szCs w:val="22"/>
                <w:lang w:val="id-ID"/>
              </w:rPr>
              <w:t xml:space="preserve">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FF13B4" w:rsidRPr="008639A5" w:rsidRDefault="00FF13B4" w:rsidP="005F7D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id-ID"/>
              </w:rPr>
            </w:pPr>
          </w:p>
        </w:tc>
      </w:tr>
    </w:tbl>
    <w:p w:rsidR="009A1132" w:rsidRPr="008639A5" w:rsidRDefault="009A1132" w:rsidP="009A1132">
      <w:pPr>
        <w:pStyle w:val="ListParagraph"/>
        <w:snapToGrid w:val="0"/>
        <w:ind w:left="0"/>
        <w:rPr>
          <w:rFonts w:ascii="Arial" w:hAnsi="Arial" w:cs="Arial"/>
          <w:sz w:val="22"/>
          <w:szCs w:val="22"/>
        </w:rPr>
      </w:pPr>
    </w:p>
    <w:p w:rsidR="009A1132" w:rsidRPr="004F6943" w:rsidRDefault="009A1132" w:rsidP="009A1132">
      <w:pPr>
        <w:snapToGrid w:val="0"/>
        <w:ind w:left="993" w:hanging="993"/>
        <w:rPr>
          <w:rFonts w:ascii="Arial" w:hAnsi="Arial" w:cs="Arial"/>
          <w:sz w:val="22"/>
          <w:szCs w:val="22"/>
        </w:rPr>
      </w:pPr>
      <w:r w:rsidRPr="008639A5">
        <w:rPr>
          <w:rFonts w:ascii="Arial" w:hAnsi="Arial" w:cs="Arial"/>
          <w:sz w:val="22"/>
          <w:szCs w:val="22"/>
          <w:lang w:val="id-ID"/>
        </w:rPr>
        <w:t xml:space="preserve"> * Sumber : Laporan program Dinas Kesehatan Tahun 2010-201</w:t>
      </w:r>
      <w:r w:rsidR="004F6943">
        <w:rPr>
          <w:rFonts w:ascii="Arial" w:hAnsi="Arial" w:cs="Arial"/>
          <w:sz w:val="22"/>
          <w:szCs w:val="22"/>
        </w:rPr>
        <w:t>7</w:t>
      </w:r>
    </w:p>
    <w:p w:rsidR="009A1132" w:rsidRPr="008639A5" w:rsidRDefault="009A1132" w:rsidP="009A1132">
      <w:pPr>
        <w:snapToGrid w:val="0"/>
        <w:rPr>
          <w:rFonts w:ascii="Arial" w:hAnsi="Arial" w:cs="Arial"/>
          <w:sz w:val="22"/>
          <w:szCs w:val="22"/>
          <w:lang w:val="id-ID"/>
        </w:rPr>
      </w:pPr>
    </w:p>
    <w:p w:rsidR="009A1132" w:rsidRPr="008639A5" w:rsidRDefault="009A1132" w:rsidP="009A1132">
      <w:pPr>
        <w:snapToGrid w:val="0"/>
        <w:rPr>
          <w:rFonts w:ascii="Arial" w:hAnsi="Arial" w:cs="Arial"/>
          <w:b/>
          <w:sz w:val="22"/>
          <w:szCs w:val="22"/>
          <w:lang w:val="id-ID"/>
        </w:rPr>
      </w:pPr>
    </w:p>
    <w:p w:rsidR="009A1132" w:rsidRPr="008639A5" w:rsidRDefault="009A1132" w:rsidP="009A1132">
      <w:pPr>
        <w:tabs>
          <w:tab w:val="left" w:pos="720"/>
        </w:tabs>
        <w:spacing w:line="360" w:lineRule="auto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9A1132" w:rsidRPr="008639A5" w:rsidRDefault="009A1132" w:rsidP="001B7F9D">
      <w:pPr>
        <w:tabs>
          <w:tab w:val="left" w:pos="270"/>
        </w:tabs>
        <w:autoSpaceDE w:val="0"/>
        <w:autoSpaceDN w:val="0"/>
        <w:adjustRightInd w:val="0"/>
        <w:spacing w:line="360" w:lineRule="auto"/>
        <w:ind w:left="440" w:hangingChars="200" w:hanging="440"/>
        <w:jc w:val="both"/>
        <w:rPr>
          <w:rFonts w:ascii="Arial" w:hAnsi="Arial" w:cs="Arial"/>
          <w:sz w:val="22"/>
          <w:szCs w:val="22"/>
        </w:rPr>
      </w:pPr>
    </w:p>
    <w:sectPr w:rsidR="009A1132" w:rsidRPr="008639A5" w:rsidSect="00A07744">
      <w:headerReference w:type="default" r:id="rId8"/>
      <w:footerReference w:type="default" r:id="rId9"/>
      <w:pgSz w:w="11907" w:h="16839" w:code="9"/>
      <w:pgMar w:top="1582" w:right="1412" w:bottom="1871" w:left="1871" w:header="720" w:footer="1509" w:gutter="0"/>
      <w:pgNumType w:start="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B8" w:rsidRDefault="006278B8" w:rsidP="009A1132">
      <w:r>
        <w:separator/>
      </w:r>
    </w:p>
  </w:endnote>
  <w:endnote w:type="continuationSeparator" w:id="1">
    <w:p w:rsidR="006278B8" w:rsidRDefault="006278B8" w:rsidP="009A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46" w:rsidRPr="00E87210" w:rsidRDefault="008B42D0" w:rsidP="00E87210">
    <w:pPr>
      <w:pStyle w:val="Footer"/>
      <w:pBdr>
        <w:top w:val="thinThickSmallGap" w:sz="24" w:space="1" w:color="622423"/>
      </w:pBdr>
      <w:shd w:val="clear" w:color="auto" w:fill="9BBB59"/>
      <w:jc w:val="center"/>
      <w:rPr>
        <w:rFonts w:ascii="Cambria" w:hAnsi="Cambria"/>
      </w:rPr>
    </w:pPr>
    <w:fldSimple w:instr=" PAGE   \* MERGEFORMAT ">
      <w:r w:rsidR="00434D1A" w:rsidRPr="00434D1A">
        <w:rPr>
          <w:rFonts w:ascii="Cambria" w:hAnsi="Cambria"/>
          <w:noProof/>
        </w:rPr>
        <w:t>89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B8" w:rsidRDefault="006278B8" w:rsidP="009A1132">
      <w:r>
        <w:separator/>
      </w:r>
    </w:p>
  </w:footnote>
  <w:footnote w:type="continuationSeparator" w:id="1">
    <w:p w:rsidR="006278B8" w:rsidRDefault="006278B8" w:rsidP="009A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10" w:rsidRDefault="00842FD9" w:rsidP="00E8721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-11430</wp:posOffset>
          </wp:positionV>
          <wp:extent cx="352425" cy="409575"/>
          <wp:effectExtent l="19050" t="0" r="9525" b="0"/>
          <wp:wrapNone/>
          <wp:docPr id="2" name="Picture 4" descr="E:\Untuk Cover\T sak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Untuk Cover\T sak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572135</wp:posOffset>
          </wp:positionH>
          <wp:positionV relativeFrom="paragraph">
            <wp:posOffset>-17145</wp:posOffset>
          </wp:positionV>
          <wp:extent cx="4943475" cy="342900"/>
          <wp:effectExtent l="19050" t="0" r="9525" b="0"/>
          <wp:wrapTight wrapText="bothSides">
            <wp:wrapPolygon edited="0">
              <wp:start x="-83" y="0"/>
              <wp:lineTo x="-83" y="20400"/>
              <wp:lineTo x="21642" y="20400"/>
              <wp:lineTo x="21642" y="0"/>
              <wp:lineTo x="-83" y="0"/>
            </wp:wrapPolygon>
          </wp:wrapTight>
          <wp:docPr id="1" name="Picture 1" descr="wave-green-background-backgrounds-wallpap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-green-background-backgrounds-wallpape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812">
      <w:rPr>
        <w:rFonts w:ascii="Mistral" w:hAnsi="Mistral"/>
        <w:b/>
        <w:sz w:val="20"/>
      </w:rPr>
      <w:t xml:space="preserve">Revisi  Rencana Strategis Dinas Kesehatan Provinsi Sumatera Barat Tahun  </w:t>
    </w:r>
    <w:r w:rsidR="00B36812" w:rsidRPr="00A96BC6">
      <w:rPr>
        <w:rFonts w:ascii="Mistral" w:hAnsi="Mistral"/>
        <w:b/>
        <w:sz w:val="20"/>
        <w:lang w:val="id-ID"/>
      </w:rPr>
      <w:t>2016-2021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5F1"/>
    <w:multiLevelType w:val="multilevel"/>
    <w:tmpl w:val="035D45F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C65343"/>
    <w:multiLevelType w:val="multilevel"/>
    <w:tmpl w:val="1AC6534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5A04"/>
    <w:multiLevelType w:val="multilevel"/>
    <w:tmpl w:val="20505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A186F"/>
    <w:multiLevelType w:val="multilevel"/>
    <w:tmpl w:val="5BCA186F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0" w:hanging="2160"/>
      </w:pPr>
      <w:rPr>
        <w:rFonts w:hint="default"/>
      </w:rPr>
    </w:lvl>
  </w:abstractNum>
  <w:abstractNum w:abstractNumId="4">
    <w:nsid w:val="5F917A1D"/>
    <w:multiLevelType w:val="multilevel"/>
    <w:tmpl w:val="5F917A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60482"/>
    <w:multiLevelType w:val="multilevel"/>
    <w:tmpl w:val="60160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82400"/>
    <w:multiLevelType w:val="multilevel"/>
    <w:tmpl w:val="A164E6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A1132"/>
    <w:rsid w:val="000009EE"/>
    <w:rsid w:val="0000121D"/>
    <w:rsid w:val="000015B3"/>
    <w:rsid w:val="000019E0"/>
    <w:rsid w:val="00001C6C"/>
    <w:rsid w:val="00005A7C"/>
    <w:rsid w:val="00005CCE"/>
    <w:rsid w:val="00006B0E"/>
    <w:rsid w:val="00006D20"/>
    <w:rsid w:val="00006D81"/>
    <w:rsid w:val="00010641"/>
    <w:rsid w:val="00011012"/>
    <w:rsid w:val="00011751"/>
    <w:rsid w:val="00012B1E"/>
    <w:rsid w:val="00013A74"/>
    <w:rsid w:val="00014B3B"/>
    <w:rsid w:val="000153DE"/>
    <w:rsid w:val="00015EBB"/>
    <w:rsid w:val="00020709"/>
    <w:rsid w:val="00020D7F"/>
    <w:rsid w:val="000215E6"/>
    <w:rsid w:val="00022A78"/>
    <w:rsid w:val="00023464"/>
    <w:rsid w:val="00024020"/>
    <w:rsid w:val="0002429A"/>
    <w:rsid w:val="0002502E"/>
    <w:rsid w:val="00025889"/>
    <w:rsid w:val="00025C0C"/>
    <w:rsid w:val="00025E2E"/>
    <w:rsid w:val="00031E29"/>
    <w:rsid w:val="00032C6D"/>
    <w:rsid w:val="0003363C"/>
    <w:rsid w:val="0003379D"/>
    <w:rsid w:val="00035210"/>
    <w:rsid w:val="00035351"/>
    <w:rsid w:val="000353F4"/>
    <w:rsid w:val="0004063C"/>
    <w:rsid w:val="000445F4"/>
    <w:rsid w:val="00045EBB"/>
    <w:rsid w:val="000466CA"/>
    <w:rsid w:val="0004789F"/>
    <w:rsid w:val="00047E31"/>
    <w:rsid w:val="00050283"/>
    <w:rsid w:val="00051685"/>
    <w:rsid w:val="00052225"/>
    <w:rsid w:val="00052579"/>
    <w:rsid w:val="00053094"/>
    <w:rsid w:val="00053B9A"/>
    <w:rsid w:val="000560A7"/>
    <w:rsid w:val="000568C9"/>
    <w:rsid w:val="000608E1"/>
    <w:rsid w:val="00062935"/>
    <w:rsid w:val="00066A0F"/>
    <w:rsid w:val="00066D23"/>
    <w:rsid w:val="000672E4"/>
    <w:rsid w:val="00067326"/>
    <w:rsid w:val="000673AC"/>
    <w:rsid w:val="000711CD"/>
    <w:rsid w:val="000713F4"/>
    <w:rsid w:val="000715BD"/>
    <w:rsid w:val="00071BF6"/>
    <w:rsid w:val="00071CF9"/>
    <w:rsid w:val="000725A1"/>
    <w:rsid w:val="000728FD"/>
    <w:rsid w:val="00072A70"/>
    <w:rsid w:val="00074865"/>
    <w:rsid w:val="00075D47"/>
    <w:rsid w:val="00081E9B"/>
    <w:rsid w:val="0008213B"/>
    <w:rsid w:val="00083F76"/>
    <w:rsid w:val="000850E4"/>
    <w:rsid w:val="00086CDF"/>
    <w:rsid w:val="00087248"/>
    <w:rsid w:val="00090A34"/>
    <w:rsid w:val="00090FCB"/>
    <w:rsid w:val="000923CB"/>
    <w:rsid w:val="00093E96"/>
    <w:rsid w:val="00095359"/>
    <w:rsid w:val="000959DD"/>
    <w:rsid w:val="00095D40"/>
    <w:rsid w:val="000969AB"/>
    <w:rsid w:val="00097A3A"/>
    <w:rsid w:val="000A01CC"/>
    <w:rsid w:val="000A093D"/>
    <w:rsid w:val="000A12A0"/>
    <w:rsid w:val="000A19BB"/>
    <w:rsid w:val="000A37CE"/>
    <w:rsid w:val="000A4CF2"/>
    <w:rsid w:val="000A67BC"/>
    <w:rsid w:val="000A6BCF"/>
    <w:rsid w:val="000A74F4"/>
    <w:rsid w:val="000A79EE"/>
    <w:rsid w:val="000B1BF6"/>
    <w:rsid w:val="000B1C08"/>
    <w:rsid w:val="000B1D6B"/>
    <w:rsid w:val="000B28F6"/>
    <w:rsid w:val="000B29E4"/>
    <w:rsid w:val="000B4D31"/>
    <w:rsid w:val="000B561F"/>
    <w:rsid w:val="000B60CC"/>
    <w:rsid w:val="000B6B11"/>
    <w:rsid w:val="000C0106"/>
    <w:rsid w:val="000C1C81"/>
    <w:rsid w:val="000C24C4"/>
    <w:rsid w:val="000C6B93"/>
    <w:rsid w:val="000C7698"/>
    <w:rsid w:val="000C77C3"/>
    <w:rsid w:val="000D0D69"/>
    <w:rsid w:val="000D2C6D"/>
    <w:rsid w:val="000D2CEA"/>
    <w:rsid w:val="000D3D8E"/>
    <w:rsid w:val="000D4D82"/>
    <w:rsid w:val="000D56BC"/>
    <w:rsid w:val="000E0D24"/>
    <w:rsid w:val="000E1513"/>
    <w:rsid w:val="000E1C42"/>
    <w:rsid w:val="000E30FF"/>
    <w:rsid w:val="000E500F"/>
    <w:rsid w:val="000E7AB9"/>
    <w:rsid w:val="000F084E"/>
    <w:rsid w:val="000F16DC"/>
    <w:rsid w:val="000F1A1E"/>
    <w:rsid w:val="000F1E1C"/>
    <w:rsid w:val="000F2D30"/>
    <w:rsid w:val="000F2FA6"/>
    <w:rsid w:val="000F319A"/>
    <w:rsid w:val="000F46A6"/>
    <w:rsid w:val="000F582F"/>
    <w:rsid w:val="000F6F3F"/>
    <w:rsid w:val="000F774B"/>
    <w:rsid w:val="000F7A1D"/>
    <w:rsid w:val="001001EC"/>
    <w:rsid w:val="001009A4"/>
    <w:rsid w:val="001036E5"/>
    <w:rsid w:val="00107FB7"/>
    <w:rsid w:val="00110752"/>
    <w:rsid w:val="001127EB"/>
    <w:rsid w:val="00114A69"/>
    <w:rsid w:val="00121612"/>
    <w:rsid w:val="00121E13"/>
    <w:rsid w:val="001224B6"/>
    <w:rsid w:val="001224F5"/>
    <w:rsid w:val="00123385"/>
    <w:rsid w:val="0012473D"/>
    <w:rsid w:val="00126D76"/>
    <w:rsid w:val="00127B21"/>
    <w:rsid w:val="00130134"/>
    <w:rsid w:val="00130555"/>
    <w:rsid w:val="00130E7F"/>
    <w:rsid w:val="001310DD"/>
    <w:rsid w:val="001328B2"/>
    <w:rsid w:val="0013317B"/>
    <w:rsid w:val="0013486A"/>
    <w:rsid w:val="001354A0"/>
    <w:rsid w:val="0013698D"/>
    <w:rsid w:val="00140D18"/>
    <w:rsid w:val="00141C19"/>
    <w:rsid w:val="0014286A"/>
    <w:rsid w:val="00143930"/>
    <w:rsid w:val="0014481D"/>
    <w:rsid w:val="0014585B"/>
    <w:rsid w:val="00150421"/>
    <w:rsid w:val="001524ED"/>
    <w:rsid w:val="001551E8"/>
    <w:rsid w:val="00155850"/>
    <w:rsid w:val="00155937"/>
    <w:rsid w:val="00157B33"/>
    <w:rsid w:val="00157DC3"/>
    <w:rsid w:val="0016104C"/>
    <w:rsid w:val="00161F42"/>
    <w:rsid w:val="001623DF"/>
    <w:rsid w:val="001623E5"/>
    <w:rsid w:val="001627A8"/>
    <w:rsid w:val="00162C28"/>
    <w:rsid w:val="001641C8"/>
    <w:rsid w:val="00164843"/>
    <w:rsid w:val="00166F21"/>
    <w:rsid w:val="001675BF"/>
    <w:rsid w:val="00171D29"/>
    <w:rsid w:val="0017269A"/>
    <w:rsid w:val="00172A36"/>
    <w:rsid w:val="0017327C"/>
    <w:rsid w:val="001758CE"/>
    <w:rsid w:val="0017680B"/>
    <w:rsid w:val="00177DA6"/>
    <w:rsid w:val="00177FC9"/>
    <w:rsid w:val="0018104F"/>
    <w:rsid w:val="001812E7"/>
    <w:rsid w:val="001814FA"/>
    <w:rsid w:val="00182334"/>
    <w:rsid w:val="00182DF7"/>
    <w:rsid w:val="001833A6"/>
    <w:rsid w:val="001834B5"/>
    <w:rsid w:val="0018396B"/>
    <w:rsid w:val="001855D4"/>
    <w:rsid w:val="0018631E"/>
    <w:rsid w:val="00186C1F"/>
    <w:rsid w:val="00191457"/>
    <w:rsid w:val="00191C9F"/>
    <w:rsid w:val="00192B99"/>
    <w:rsid w:val="00193142"/>
    <w:rsid w:val="001939D5"/>
    <w:rsid w:val="00193AB1"/>
    <w:rsid w:val="00194980"/>
    <w:rsid w:val="00195D01"/>
    <w:rsid w:val="00197296"/>
    <w:rsid w:val="00197EA2"/>
    <w:rsid w:val="001A0736"/>
    <w:rsid w:val="001A126B"/>
    <w:rsid w:val="001A226E"/>
    <w:rsid w:val="001A28B2"/>
    <w:rsid w:val="001A35E4"/>
    <w:rsid w:val="001A3880"/>
    <w:rsid w:val="001A51B6"/>
    <w:rsid w:val="001A55CB"/>
    <w:rsid w:val="001A7516"/>
    <w:rsid w:val="001B083D"/>
    <w:rsid w:val="001B12AF"/>
    <w:rsid w:val="001B1407"/>
    <w:rsid w:val="001B18EB"/>
    <w:rsid w:val="001B1C7C"/>
    <w:rsid w:val="001B3187"/>
    <w:rsid w:val="001B41BD"/>
    <w:rsid w:val="001B5784"/>
    <w:rsid w:val="001B73F6"/>
    <w:rsid w:val="001B7EE3"/>
    <w:rsid w:val="001B7F9D"/>
    <w:rsid w:val="001C18BE"/>
    <w:rsid w:val="001C3776"/>
    <w:rsid w:val="001C3E30"/>
    <w:rsid w:val="001C6D7C"/>
    <w:rsid w:val="001D044C"/>
    <w:rsid w:val="001D228E"/>
    <w:rsid w:val="001D2A40"/>
    <w:rsid w:val="001D40E1"/>
    <w:rsid w:val="001D44EC"/>
    <w:rsid w:val="001D4828"/>
    <w:rsid w:val="001D5876"/>
    <w:rsid w:val="001D6213"/>
    <w:rsid w:val="001D6673"/>
    <w:rsid w:val="001D700F"/>
    <w:rsid w:val="001D7C61"/>
    <w:rsid w:val="001E07D3"/>
    <w:rsid w:val="001E1A28"/>
    <w:rsid w:val="001E201B"/>
    <w:rsid w:val="001E2038"/>
    <w:rsid w:val="001E2628"/>
    <w:rsid w:val="001E2F74"/>
    <w:rsid w:val="001E3E04"/>
    <w:rsid w:val="001E4931"/>
    <w:rsid w:val="001E6A4F"/>
    <w:rsid w:val="001E7911"/>
    <w:rsid w:val="001F1B61"/>
    <w:rsid w:val="001F40AB"/>
    <w:rsid w:val="001F5775"/>
    <w:rsid w:val="00200CF5"/>
    <w:rsid w:val="00201FBC"/>
    <w:rsid w:val="00203D9C"/>
    <w:rsid w:val="00204CB6"/>
    <w:rsid w:val="00204EDD"/>
    <w:rsid w:val="002064AF"/>
    <w:rsid w:val="00206782"/>
    <w:rsid w:val="00206DD2"/>
    <w:rsid w:val="00207173"/>
    <w:rsid w:val="00207937"/>
    <w:rsid w:val="00207BD6"/>
    <w:rsid w:val="0021026A"/>
    <w:rsid w:val="00210545"/>
    <w:rsid w:val="0021111F"/>
    <w:rsid w:val="002122D9"/>
    <w:rsid w:val="00213315"/>
    <w:rsid w:val="0021463B"/>
    <w:rsid w:val="002172B3"/>
    <w:rsid w:val="00217AE4"/>
    <w:rsid w:val="00220F7D"/>
    <w:rsid w:val="0022107F"/>
    <w:rsid w:val="00222DA6"/>
    <w:rsid w:val="00223823"/>
    <w:rsid w:val="00224655"/>
    <w:rsid w:val="00231316"/>
    <w:rsid w:val="00232730"/>
    <w:rsid w:val="00233291"/>
    <w:rsid w:val="00233652"/>
    <w:rsid w:val="00234A56"/>
    <w:rsid w:val="00240742"/>
    <w:rsid w:val="0024083A"/>
    <w:rsid w:val="00240E80"/>
    <w:rsid w:val="002421B2"/>
    <w:rsid w:val="00246409"/>
    <w:rsid w:val="00246BC3"/>
    <w:rsid w:val="0024795E"/>
    <w:rsid w:val="0025054A"/>
    <w:rsid w:val="00250EF8"/>
    <w:rsid w:val="002515CC"/>
    <w:rsid w:val="002529B0"/>
    <w:rsid w:val="00255275"/>
    <w:rsid w:val="00257A15"/>
    <w:rsid w:val="00257D42"/>
    <w:rsid w:val="002600B7"/>
    <w:rsid w:val="00261C67"/>
    <w:rsid w:val="00266ACE"/>
    <w:rsid w:val="00266E15"/>
    <w:rsid w:val="00267892"/>
    <w:rsid w:val="00267AED"/>
    <w:rsid w:val="002706E9"/>
    <w:rsid w:val="00271D20"/>
    <w:rsid w:val="00273790"/>
    <w:rsid w:val="00273E9A"/>
    <w:rsid w:val="002771D4"/>
    <w:rsid w:val="002811FA"/>
    <w:rsid w:val="00281A32"/>
    <w:rsid w:val="00282EE8"/>
    <w:rsid w:val="0028386F"/>
    <w:rsid w:val="00284381"/>
    <w:rsid w:val="00284E9F"/>
    <w:rsid w:val="002878AB"/>
    <w:rsid w:val="00287947"/>
    <w:rsid w:val="002902A6"/>
    <w:rsid w:val="00293B9E"/>
    <w:rsid w:val="00294383"/>
    <w:rsid w:val="00294837"/>
    <w:rsid w:val="00295784"/>
    <w:rsid w:val="00295E30"/>
    <w:rsid w:val="0029655F"/>
    <w:rsid w:val="00297221"/>
    <w:rsid w:val="002975CF"/>
    <w:rsid w:val="002A0003"/>
    <w:rsid w:val="002A01AB"/>
    <w:rsid w:val="002A0B0C"/>
    <w:rsid w:val="002A2D37"/>
    <w:rsid w:val="002A3485"/>
    <w:rsid w:val="002A4003"/>
    <w:rsid w:val="002A4626"/>
    <w:rsid w:val="002A5ECE"/>
    <w:rsid w:val="002A6819"/>
    <w:rsid w:val="002A7A6E"/>
    <w:rsid w:val="002B0C31"/>
    <w:rsid w:val="002B142C"/>
    <w:rsid w:val="002B2E81"/>
    <w:rsid w:val="002B368E"/>
    <w:rsid w:val="002B3D5B"/>
    <w:rsid w:val="002B4372"/>
    <w:rsid w:val="002B46EE"/>
    <w:rsid w:val="002B6C4D"/>
    <w:rsid w:val="002C01AD"/>
    <w:rsid w:val="002C030D"/>
    <w:rsid w:val="002C16D7"/>
    <w:rsid w:val="002C1D21"/>
    <w:rsid w:val="002C3B54"/>
    <w:rsid w:val="002C591F"/>
    <w:rsid w:val="002C7DA3"/>
    <w:rsid w:val="002D40FE"/>
    <w:rsid w:val="002D574C"/>
    <w:rsid w:val="002D6920"/>
    <w:rsid w:val="002D6AFF"/>
    <w:rsid w:val="002D6E1B"/>
    <w:rsid w:val="002D736F"/>
    <w:rsid w:val="002E0823"/>
    <w:rsid w:val="002E10AE"/>
    <w:rsid w:val="002E144F"/>
    <w:rsid w:val="002E26FE"/>
    <w:rsid w:val="002E3EA3"/>
    <w:rsid w:val="002E4847"/>
    <w:rsid w:val="002E60D8"/>
    <w:rsid w:val="002E6469"/>
    <w:rsid w:val="002E66A4"/>
    <w:rsid w:val="002F1BC5"/>
    <w:rsid w:val="002F2173"/>
    <w:rsid w:val="002F2DCB"/>
    <w:rsid w:val="002F351B"/>
    <w:rsid w:val="002F68AF"/>
    <w:rsid w:val="002F7D0E"/>
    <w:rsid w:val="003005FA"/>
    <w:rsid w:val="00302489"/>
    <w:rsid w:val="003031B3"/>
    <w:rsid w:val="00303276"/>
    <w:rsid w:val="00303CD0"/>
    <w:rsid w:val="00306819"/>
    <w:rsid w:val="003076A3"/>
    <w:rsid w:val="00307CD1"/>
    <w:rsid w:val="003109FC"/>
    <w:rsid w:val="00310B25"/>
    <w:rsid w:val="00313D16"/>
    <w:rsid w:val="00315666"/>
    <w:rsid w:val="0031571A"/>
    <w:rsid w:val="0031617A"/>
    <w:rsid w:val="0032158D"/>
    <w:rsid w:val="003249C2"/>
    <w:rsid w:val="00324D59"/>
    <w:rsid w:val="00325A12"/>
    <w:rsid w:val="003266E8"/>
    <w:rsid w:val="00332E67"/>
    <w:rsid w:val="00333205"/>
    <w:rsid w:val="003334B1"/>
    <w:rsid w:val="0033379B"/>
    <w:rsid w:val="00333930"/>
    <w:rsid w:val="00333B81"/>
    <w:rsid w:val="00333E55"/>
    <w:rsid w:val="003341F2"/>
    <w:rsid w:val="0033447B"/>
    <w:rsid w:val="0033544C"/>
    <w:rsid w:val="00336E34"/>
    <w:rsid w:val="003379DB"/>
    <w:rsid w:val="00341285"/>
    <w:rsid w:val="00342944"/>
    <w:rsid w:val="003447F3"/>
    <w:rsid w:val="00344E8C"/>
    <w:rsid w:val="00345BC4"/>
    <w:rsid w:val="00345EEA"/>
    <w:rsid w:val="00347651"/>
    <w:rsid w:val="0035354F"/>
    <w:rsid w:val="00353E62"/>
    <w:rsid w:val="00354011"/>
    <w:rsid w:val="00354242"/>
    <w:rsid w:val="003554A3"/>
    <w:rsid w:val="00360579"/>
    <w:rsid w:val="00360B2D"/>
    <w:rsid w:val="00360CE6"/>
    <w:rsid w:val="00361453"/>
    <w:rsid w:val="0036158F"/>
    <w:rsid w:val="00362292"/>
    <w:rsid w:val="003630F1"/>
    <w:rsid w:val="00363D99"/>
    <w:rsid w:val="003640ED"/>
    <w:rsid w:val="0036531C"/>
    <w:rsid w:val="00365340"/>
    <w:rsid w:val="00365FAF"/>
    <w:rsid w:val="003678FA"/>
    <w:rsid w:val="0037046B"/>
    <w:rsid w:val="00370A38"/>
    <w:rsid w:val="00372141"/>
    <w:rsid w:val="00373A0E"/>
    <w:rsid w:val="003745C4"/>
    <w:rsid w:val="00375283"/>
    <w:rsid w:val="003758F5"/>
    <w:rsid w:val="00375EB4"/>
    <w:rsid w:val="003767E4"/>
    <w:rsid w:val="00377DE6"/>
    <w:rsid w:val="003814E1"/>
    <w:rsid w:val="00382A69"/>
    <w:rsid w:val="00383266"/>
    <w:rsid w:val="0038369D"/>
    <w:rsid w:val="003862D0"/>
    <w:rsid w:val="003867E4"/>
    <w:rsid w:val="00386C9D"/>
    <w:rsid w:val="0038702D"/>
    <w:rsid w:val="0038761A"/>
    <w:rsid w:val="00387B73"/>
    <w:rsid w:val="00387DE3"/>
    <w:rsid w:val="003903E1"/>
    <w:rsid w:val="003912F3"/>
    <w:rsid w:val="00391405"/>
    <w:rsid w:val="003923EE"/>
    <w:rsid w:val="00393B68"/>
    <w:rsid w:val="003949EC"/>
    <w:rsid w:val="00394DCE"/>
    <w:rsid w:val="00396457"/>
    <w:rsid w:val="00396DE2"/>
    <w:rsid w:val="00397545"/>
    <w:rsid w:val="003A007B"/>
    <w:rsid w:val="003A0972"/>
    <w:rsid w:val="003A1D2F"/>
    <w:rsid w:val="003A705F"/>
    <w:rsid w:val="003A7069"/>
    <w:rsid w:val="003A7823"/>
    <w:rsid w:val="003A78BB"/>
    <w:rsid w:val="003B13E9"/>
    <w:rsid w:val="003B1AB8"/>
    <w:rsid w:val="003B2BF0"/>
    <w:rsid w:val="003B4462"/>
    <w:rsid w:val="003B5895"/>
    <w:rsid w:val="003B6F70"/>
    <w:rsid w:val="003B79CB"/>
    <w:rsid w:val="003B7F88"/>
    <w:rsid w:val="003C0549"/>
    <w:rsid w:val="003C2A0D"/>
    <w:rsid w:val="003C3ABF"/>
    <w:rsid w:val="003C6573"/>
    <w:rsid w:val="003D02F2"/>
    <w:rsid w:val="003D1ACA"/>
    <w:rsid w:val="003D2756"/>
    <w:rsid w:val="003D2C0C"/>
    <w:rsid w:val="003D2E0E"/>
    <w:rsid w:val="003D4954"/>
    <w:rsid w:val="003D51BF"/>
    <w:rsid w:val="003D5E51"/>
    <w:rsid w:val="003D6B85"/>
    <w:rsid w:val="003E086A"/>
    <w:rsid w:val="003E4118"/>
    <w:rsid w:val="003E46FF"/>
    <w:rsid w:val="003E5392"/>
    <w:rsid w:val="003E5739"/>
    <w:rsid w:val="003E61F2"/>
    <w:rsid w:val="003E6707"/>
    <w:rsid w:val="003E70BF"/>
    <w:rsid w:val="003E77C6"/>
    <w:rsid w:val="003F2345"/>
    <w:rsid w:val="003F24BB"/>
    <w:rsid w:val="003F42EC"/>
    <w:rsid w:val="003F4C75"/>
    <w:rsid w:val="003F4F01"/>
    <w:rsid w:val="003F513A"/>
    <w:rsid w:val="003F5612"/>
    <w:rsid w:val="003F66FD"/>
    <w:rsid w:val="003F6E85"/>
    <w:rsid w:val="003F6F7D"/>
    <w:rsid w:val="0040163D"/>
    <w:rsid w:val="00403199"/>
    <w:rsid w:val="004046D3"/>
    <w:rsid w:val="00410341"/>
    <w:rsid w:val="004122CA"/>
    <w:rsid w:val="00413F50"/>
    <w:rsid w:val="004147A1"/>
    <w:rsid w:val="0042123F"/>
    <w:rsid w:val="00422728"/>
    <w:rsid w:val="0042520F"/>
    <w:rsid w:val="004252DF"/>
    <w:rsid w:val="00425EB1"/>
    <w:rsid w:val="004303C1"/>
    <w:rsid w:val="00431237"/>
    <w:rsid w:val="0043221E"/>
    <w:rsid w:val="00433598"/>
    <w:rsid w:val="00434D1A"/>
    <w:rsid w:val="00435273"/>
    <w:rsid w:val="004376E1"/>
    <w:rsid w:val="00441BD0"/>
    <w:rsid w:val="00442375"/>
    <w:rsid w:val="00442C0B"/>
    <w:rsid w:val="00443CF8"/>
    <w:rsid w:val="00443F33"/>
    <w:rsid w:val="00444936"/>
    <w:rsid w:val="004455B1"/>
    <w:rsid w:val="004468B3"/>
    <w:rsid w:val="00450AFE"/>
    <w:rsid w:val="00450E87"/>
    <w:rsid w:val="00450FE3"/>
    <w:rsid w:val="004515E1"/>
    <w:rsid w:val="00452D81"/>
    <w:rsid w:val="00452EC6"/>
    <w:rsid w:val="00453DE6"/>
    <w:rsid w:val="00454201"/>
    <w:rsid w:val="00456023"/>
    <w:rsid w:val="004602B4"/>
    <w:rsid w:val="0046233C"/>
    <w:rsid w:val="00462775"/>
    <w:rsid w:val="0046303A"/>
    <w:rsid w:val="004650BD"/>
    <w:rsid w:val="00465717"/>
    <w:rsid w:val="00470210"/>
    <w:rsid w:val="004714E3"/>
    <w:rsid w:val="00471903"/>
    <w:rsid w:val="004732AE"/>
    <w:rsid w:val="00474A8D"/>
    <w:rsid w:val="00475BAC"/>
    <w:rsid w:val="004768F9"/>
    <w:rsid w:val="004769BA"/>
    <w:rsid w:val="004818D3"/>
    <w:rsid w:val="00481CCD"/>
    <w:rsid w:val="00484331"/>
    <w:rsid w:val="004845A7"/>
    <w:rsid w:val="00485A62"/>
    <w:rsid w:val="004868EB"/>
    <w:rsid w:val="00490879"/>
    <w:rsid w:val="0049090A"/>
    <w:rsid w:val="00491FF3"/>
    <w:rsid w:val="0049436B"/>
    <w:rsid w:val="00494A21"/>
    <w:rsid w:val="00494C8B"/>
    <w:rsid w:val="0049661A"/>
    <w:rsid w:val="004969BB"/>
    <w:rsid w:val="004973A0"/>
    <w:rsid w:val="00497935"/>
    <w:rsid w:val="004A1E39"/>
    <w:rsid w:val="004A203B"/>
    <w:rsid w:val="004A4A6C"/>
    <w:rsid w:val="004A6B39"/>
    <w:rsid w:val="004A7AB1"/>
    <w:rsid w:val="004B2BB1"/>
    <w:rsid w:val="004B5796"/>
    <w:rsid w:val="004B5A22"/>
    <w:rsid w:val="004B6816"/>
    <w:rsid w:val="004C06BB"/>
    <w:rsid w:val="004C0A9D"/>
    <w:rsid w:val="004C2B9E"/>
    <w:rsid w:val="004C3E05"/>
    <w:rsid w:val="004C44AE"/>
    <w:rsid w:val="004C5053"/>
    <w:rsid w:val="004C55E6"/>
    <w:rsid w:val="004C5625"/>
    <w:rsid w:val="004C5967"/>
    <w:rsid w:val="004C6482"/>
    <w:rsid w:val="004C7FA4"/>
    <w:rsid w:val="004C7FEA"/>
    <w:rsid w:val="004D0032"/>
    <w:rsid w:val="004D0256"/>
    <w:rsid w:val="004D1273"/>
    <w:rsid w:val="004D1753"/>
    <w:rsid w:val="004D33D2"/>
    <w:rsid w:val="004D4149"/>
    <w:rsid w:val="004D5D3F"/>
    <w:rsid w:val="004D702B"/>
    <w:rsid w:val="004E0069"/>
    <w:rsid w:val="004E010F"/>
    <w:rsid w:val="004E10AF"/>
    <w:rsid w:val="004E38CB"/>
    <w:rsid w:val="004E5C1E"/>
    <w:rsid w:val="004F1150"/>
    <w:rsid w:val="004F1E39"/>
    <w:rsid w:val="004F2275"/>
    <w:rsid w:val="004F4479"/>
    <w:rsid w:val="004F56AD"/>
    <w:rsid w:val="004F6185"/>
    <w:rsid w:val="004F6943"/>
    <w:rsid w:val="004F76F6"/>
    <w:rsid w:val="0050013C"/>
    <w:rsid w:val="005011BB"/>
    <w:rsid w:val="00501370"/>
    <w:rsid w:val="00501D12"/>
    <w:rsid w:val="005020D3"/>
    <w:rsid w:val="00502824"/>
    <w:rsid w:val="0050282B"/>
    <w:rsid w:val="0050360E"/>
    <w:rsid w:val="00503707"/>
    <w:rsid w:val="0050483A"/>
    <w:rsid w:val="005049DB"/>
    <w:rsid w:val="00504BF1"/>
    <w:rsid w:val="00504E54"/>
    <w:rsid w:val="00507134"/>
    <w:rsid w:val="00507A10"/>
    <w:rsid w:val="00510AAF"/>
    <w:rsid w:val="00510C99"/>
    <w:rsid w:val="00512B85"/>
    <w:rsid w:val="0051496D"/>
    <w:rsid w:val="00514B97"/>
    <w:rsid w:val="00514F42"/>
    <w:rsid w:val="005169B6"/>
    <w:rsid w:val="00517AC3"/>
    <w:rsid w:val="00517D93"/>
    <w:rsid w:val="005223B6"/>
    <w:rsid w:val="00522493"/>
    <w:rsid w:val="00522EBF"/>
    <w:rsid w:val="00524EFB"/>
    <w:rsid w:val="005257EF"/>
    <w:rsid w:val="0052592A"/>
    <w:rsid w:val="00526B83"/>
    <w:rsid w:val="005272FC"/>
    <w:rsid w:val="00527CB4"/>
    <w:rsid w:val="005315F3"/>
    <w:rsid w:val="00531843"/>
    <w:rsid w:val="00532556"/>
    <w:rsid w:val="00532E40"/>
    <w:rsid w:val="005338DB"/>
    <w:rsid w:val="00533FFE"/>
    <w:rsid w:val="00534A3C"/>
    <w:rsid w:val="00535E5C"/>
    <w:rsid w:val="00540AF6"/>
    <w:rsid w:val="00541403"/>
    <w:rsid w:val="00541AA3"/>
    <w:rsid w:val="005426EB"/>
    <w:rsid w:val="00542C49"/>
    <w:rsid w:val="00542DF1"/>
    <w:rsid w:val="00543075"/>
    <w:rsid w:val="005431C9"/>
    <w:rsid w:val="005442C1"/>
    <w:rsid w:val="00545721"/>
    <w:rsid w:val="0054628A"/>
    <w:rsid w:val="0054774E"/>
    <w:rsid w:val="00547774"/>
    <w:rsid w:val="00551661"/>
    <w:rsid w:val="00552A8B"/>
    <w:rsid w:val="00552AB5"/>
    <w:rsid w:val="00553495"/>
    <w:rsid w:val="005537F3"/>
    <w:rsid w:val="00554E75"/>
    <w:rsid w:val="00555562"/>
    <w:rsid w:val="0055654F"/>
    <w:rsid w:val="00560AC8"/>
    <w:rsid w:val="00561565"/>
    <w:rsid w:val="00561857"/>
    <w:rsid w:val="00561900"/>
    <w:rsid w:val="00561A18"/>
    <w:rsid w:val="005632BB"/>
    <w:rsid w:val="00566679"/>
    <w:rsid w:val="00567361"/>
    <w:rsid w:val="00567DCF"/>
    <w:rsid w:val="00570096"/>
    <w:rsid w:val="005707FB"/>
    <w:rsid w:val="005714D5"/>
    <w:rsid w:val="005730D7"/>
    <w:rsid w:val="00574139"/>
    <w:rsid w:val="00574A84"/>
    <w:rsid w:val="00574D6B"/>
    <w:rsid w:val="0057544D"/>
    <w:rsid w:val="005758EA"/>
    <w:rsid w:val="00576EEB"/>
    <w:rsid w:val="00577297"/>
    <w:rsid w:val="00577298"/>
    <w:rsid w:val="00581954"/>
    <w:rsid w:val="005827AA"/>
    <w:rsid w:val="005829B8"/>
    <w:rsid w:val="0058442A"/>
    <w:rsid w:val="00585857"/>
    <w:rsid w:val="00585AD7"/>
    <w:rsid w:val="00585CA1"/>
    <w:rsid w:val="00586811"/>
    <w:rsid w:val="00587E34"/>
    <w:rsid w:val="00590CF1"/>
    <w:rsid w:val="0059119F"/>
    <w:rsid w:val="005915BB"/>
    <w:rsid w:val="00591FD4"/>
    <w:rsid w:val="005924B8"/>
    <w:rsid w:val="00592E69"/>
    <w:rsid w:val="00595518"/>
    <w:rsid w:val="005955E8"/>
    <w:rsid w:val="00597852"/>
    <w:rsid w:val="00597DBB"/>
    <w:rsid w:val="00597DCC"/>
    <w:rsid w:val="005A0028"/>
    <w:rsid w:val="005A12C9"/>
    <w:rsid w:val="005A1833"/>
    <w:rsid w:val="005A1EB8"/>
    <w:rsid w:val="005A2B0F"/>
    <w:rsid w:val="005A3346"/>
    <w:rsid w:val="005A45BD"/>
    <w:rsid w:val="005A4AFB"/>
    <w:rsid w:val="005A4C2E"/>
    <w:rsid w:val="005A6564"/>
    <w:rsid w:val="005B0CC1"/>
    <w:rsid w:val="005B1054"/>
    <w:rsid w:val="005B1277"/>
    <w:rsid w:val="005B1300"/>
    <w:rsid w:val="005B20C0"/>
    <w:rsid w:val="005B2802"/>
    <w:rsid w:val="005B2F6E"/>
    <w:rsid w:val="005B4BD4"/>
    <w:rsid w:val="005B5BAE"/>
    <w:rsid w:val="005B6C92"/>
    <w:rsid w:val="005B7D1B"/>
    <w:rsid w:val="005C0571"/>
    <w:rsid w:val="005C05A8"/>
    <w:rsid w:val="005C0628"/>
    <w:rsid w:val="005C0BB7"/>
    <w:rsid w:val="005C0C06"/>
    <w:rsid w:val="005C18CD"/>
    <w:rsid w:val="005C1E02"/>
    <w:rsid w:val="005C2393"/>
    <w:rsid w:val="005C2CEE"/>
    <w:rsid w:val="005C3179"/>
    <w:rsid w:val="005C4394"/>
    <w:rsid w:val="005C4578"/>
    <w:rsid w:val="005C5128"/>
    <w:rsid w:val="005C5174"/>
    <w:rsid w:val="005C5510"/>
    <w:rsid w:val="005C68B0"/>
    <w:rsid w:val="005C76A5"/>
    <w:rsid w:val="005D0CAD"/>
    <w:rsid w:val="005D15FE"/>
    <w:rsid w:val="005D1AA4"/>
    <w:rsid w:val="005D26CB"/>
    <w:rsid w:val="005D3CBC"/>
    <w:rsid w:val="005D4126"/>
    <w:rsid w:val="005D43E5"/>
    <w:rsid w:val="005D6C0C"/>
    <w:rsid w:val="005D7C8B"/>
    <w:rsid w:val="005D7D3E"/>
    <w:rsid w:val="005E0123"/>
    <w:rsid w:val="005E1502"/>
    <w:rsid w:val="005E5350"/>
    <w:rsid w:val="005E617A"/>
    <w:rsid w:val="005E7E43"/>
    <w:rsid w:val="005F148E"/>
    <w:rsid w:val="005F2BDD"/>
    <w:rsid w:val="005F2D51"/>
    <w:rsid w:val="005F41BE"/>
    <w:rsid w:val="005F41F0"/>
    <w:rsid w:val="005F574D"/>
    <w:rsid w:val="005F59E6"/>
    <w:rsid w:val="005F68C5"/>
    <w:rsid w:val="005F70A8"/>
    <w:rsid w:val="005F7DFC"/>
    <w:rsid w:val="005F7FD0"/>
    <w:rsid w:val="00601110"/>
    <w:rsid w:val="0060112F"/>
    <w:rsid w:val="00603E81"/>
    <w:rsid w:val="00604C97"/>
    <w:rsid w:val="00606793"/>
    <w:rsid w:val="00606935"/>
    <w:rsid w:val="00607369"/>
    <w:rsid w:val="00607624"/>
    <w:rsid w:val="00611900"/>
    <w:rsid w:val="00611BDF"/>
    <w:rsid w:val="006144BD"/>
    <w:rsid w:val="00616054"/>
    <w:rsid w:val="00620A81"/>
    <w:rsid w:val="00620C31"/>
    <w:rsid w:val="006223C0"/>
    <w:rsid w:val="00622BBF"/>
    <w:rsid w:val="00622E66"/>
    <w:rsid w:val="00622F15"/>
    <w:rsid w:val="00624209"/>
    <w:rsid w:val="00624A61"/>
    <w:rsid w:val="00625754"/>
    <w:rsid w:val="00626A06"/>
    <w:rsid w:val="00626CD1"/>
    <w:rsid w:val="006278B8"/>
    <w:rsid w:val="00627D73"/>
    <w:rsid w:val="006316D0"/>
    <w:rsid w:val="00633250"/>
    <w:rsid w:val="0063422E"/>
    <w:rsid w:val="006363F5"/>
    <w:rsid w:val="00637162"/>
    <w:rsid w:val="00640054"/>
    <w:rsid w:val="00640370"/>
    <w:rsid w:val="00641A38"/>
    <w:rsid w:val="006422F3"/>
    <w:rsid w:val="0064266A"/>
    <w:rsid w:val="00643CB1"/>
    <w:rsid w:val="00643E0F"/>
    <w:rsid w:val="0064439B"/>
    <w:rsid w:val="00644B6C"/>
    <w:rsid w:val="00646554"/>
    <w:rsid w:val="0064701F"/>
    <w:rsid w:val="006473F0"/>
    <w:rsid w:val="00647839"/>
    <w:rsid w:val="00650807"/>
    <w:rsid w:val="00652B7F"/>
    <w:rsid w:val="00655E1D"/>
    <w:rsid w:val="00661651"/>
    <w:rsid w:val="00662449"/>
    <w:rsid w:val="00662BC9"/>
    <w:rsid w:val="00663596"/>
    <w:rsid w:val="00663616"/>
    <w:rsid w:val="00665B21"/>
    <w:rsid w:val="00665BEC"/>
    <w:rsid w:val="00665FFA"/>
    <w:rsid w:val="00666536"/>
    <w:rsid w:val="00666BA7"/>
    <w:rsid w:val="00666EB9"/>
    <w:rsid w:val="00667F9F"/>
    <w:rsid w:val="00671850"/>
    <w:rsid w:val="00671B90"/>
    <w:rsid w:val="00672014"/>
    <w:rsid w:val="006726BE"/>
    <w:rsid w:val="00675C75"/>
    <w:rsid w:val="00677467"/>
    <w:rsid w:val="006814C5"/>
    <w:rsid w:val="00681C9D"/>
    <w:rsid w:val="00682613"/>
    <w:rsid w:val="00682F75"/>
    <w:rsid w:val="00683285"/>
    <w:rsid w:val="00683D17"/>
    <w:rsid w:val="0068430E"/>
    <w:rsid w:val="00684F23"/>
    <w:rsid w:val="006866C9"/>
    <w:rsid w:val="00687863"/>
    <w:rsid w:val="00691041"/>
    <w:rsid w:val="00691C10"/>
    <w:rsid w:val="00693BAA"/>
    <w:rsid w:val="00696194"/>
    <w:rsid w:val="00696775"/>
    <w:rsid w:val="00696EB0"/>
    <w:rsid w:val="006970D8"/>
    <w:rsid w:val="006A039F"/>
    <w:rsid w:val="006A338E"/>
    <w:rsid w:val="006A362B"/>
    <w:rsid w:val="006A3E74"/>
    <w:rsid w:val="006A4612"/>
    <w:rsid w:val="006A5E0E"/>
    <w:rsid w:val="006A63AC"/>
    <w:rsid w:val="006A6F0B"/>
    <w:rsid w:val="006A7DB6"/>
    <w:rsid w:val="006B13E7"/>
    <w:rsid w:val="006B1E17"/>
    <w:rsid w:val="006B254D"/>
    <w:rsid w:val="006B3CED"/>
    <w:rsid w:val="006B4CAB"/>
    <w:rsid w:val="006B4EDD"/>
    <w:rsid w:val="006B5027"/>
    <w:rsid w:val="006B6055"/>
    <w:rsid w:val="006B60C5"/>
    <w:rsid w:val="006B7E68"/>
    <w:rsid w:val="006C1853"/>
    <w:rsid w:val="006C2E6F"/>
    <w:rsid w:val="006C471A"/>
    <w:rsid w:val="006C4F84"/>
    <w:rsid w:val="006C551D"/>
    <w:rsid w:val="006C594E"/>
    <w:rsid w:val="006C7140"/>
    <w:rsid w:val="006C7F6E"/>
    <w:rsid w:val="006D0605"/>
    <w:rsid w:val="006D0811"/>
    <w:rsid w:val="006D0A2B"/>
    <w:rsid w:val="006D0C64"/>
    <w:rsid w:val="006D3405"/>
    <w:rsid w:val="006D3723"/>
    <w:rsid w:val="006D43EF"/>
    <w:rsid w:val="006D485E"/>
    <w:rsid w:val="006D49C6"/>
    <w:rsid w:val="006D5697"/>
    <w:rsid w:val="006D58B6"/>
    <w:rsid w:val="006D595A"/>
    <w:rsid w:val="006E0703"/>
    <w:rsid w:val="006E2E2C"/>
    <w:rsid w:val="006E5041"/>
    <w:rsid w:val="006E56E7"/>
    <w:rsid w:val="006F20FB"/>
    <w:rsid w:val="006F2CA0"/>
    <w:rsid w:val="006F5551"/>
    <w:rsid w:val="006F5917"/>
    <w:rsid w:val="006F6E99"/>
    <w:rsid w:val="00701A59"/>
    <w:rsid w:val="007031B0"/>
    <w:rsid w:val="007031FA"/>
    <w:rsid w:val="00704A59"/>
    <w:rsid w:val="0070501D"/>
    <w:rsid w:val="0070535B"/>
    <w:rsid w:val="00705948"/>
    <w:rsid w:val="00705ABC"/>
    <w:rsid w:val="00705FD9"/>
    <w:rsid w:val="00706260"/>
    <w:rsid w:val="00706B6E"/>
    <w:rsid w:val="00707C72"/>
    <w:rsid w:val="00710096"/>
    <w:rsid w:val="0071045D"/>
    <w:rsid w:val="007117FA"/>
    <w:rsid w:val="00711AF0"/>
    <w:rsid w:val="00716095"/>
    <w:rsid w:val="00716EAD"/>
    <w:rsid w:val="00722FC5"/>
    <w:rsid w:val="00723621"/>
    <w:rsid w:val="0072397A"/>
    <w:rsid w:val="00724F61"/>
    <w:rsid w:val="00726305"/>
    <w:rsid w:val="00726E32"/>
    <w:rsid w:val="00730AB2"/>
    <w:rsid w:val="00730CFB"/>
    <w:rsid w:val="00731554"/>
    <w:rsid w:val="00731672"/>
    <w:rsid w:val="007331F3"/>
    <w:rsid w:val="007339E5"/>
    <w:rsid w:val="00734BF1"/>
    <w:rsid w:val="0073578D"/>
    <w:rsid w:val="0073746F"/>
    <w:rsid w:val="00737876"/>
    <w:rsid w:val="007412C9"/>
    <w:rsid w:val="00741582"/>
    <w:rsid w:val="007418B5"/>
    <w:rsid w:val="00742A3D"/>
    <w:rsid w:val="0074528D"/>
    <w:rsid w:val="00746800"/>
    <w:rsid w:val="00750594"/>
    <w:rsid w:val="00752559"/>
    <w:rsid w:val="00752621"/>
    <w:rsid w:val="00753FC4"/>
    <w:rsid w:val="00754375"/>
    <w:rsid w:val="00754C35"/>
    <w:rsid w:val="00756220"/>
    <w:rsid w:val="00756DDE"/>
    <w:rsid w:val="00757468"/>
    <w:rsid w:val="00760A0F"/>
    <w:rsid w:val="00761B70"/>
    <w:rsid w:val="00762341"/>
    <w:rsid w:val="007626B2"/>
    <w:rsid w:val="00762D1D"/>
    <w:rsid w:val="007637F2"/>
    <w:rsid w:val="007639F9"/>
    <w:rsid w:val="007643E4"/>
    <w:rsid w:val="00766CC2"/>
    <w:rsid w:val="0077008D"/>
    <w:rsid w:val="0077086E"/>
    <w:rsid w:val="00770B66"/>
    <w:rsid w:val="0077219A"/>
    <w:rsid w:val="00772DA4"/>
    <w:rsid w:val="00773D99"/>
    <w:rsid w:val="00774DC2"/>
    <w:rsid w:val="00775104"/>
    <w:rsid w:val="00775C94"/>
    <w:rsid w:val="00776199"/>
    <w:rsid w:val="00776209"/>
    <w:rsid w:val="00776A2A"/>
    <w:rsid w:val="007816DD"/>
    <w:rsid w:val="00783FFF"/>
    <w:rsid w:val="00786508"/>
    <w:rsid w:val="007867FF"/>
    <w:rsid w:val="00786E16"/>
    <w:rsid w:val="00791108"/>
    <w:rsid w:val="00794A59"/>
    <w:rsid w:val="00794BB4"/>
    <w:rsid w:val="00795F74"/>
    <w:rsid w:val="0079743C"/>
    <w:rsid w:val="007A09ED"/>
    <w:rsid w:val="007A2E3B"/>
    <w:rsid w:val="007A3414"/>
    <w:rsid w:val="007A3420"/>
    <w:rsid w:val="007A511F"/>
    <w:rsid w:val="007A5478"/>
    <w:rsid w:val="007A57AF"/>
    <w:rsid w:val="007A6226"/>
    <w:rsid w:val="007A65C1"/>
    <w:rsid w:val="007A6F78"/>
    <w:rsid w:val="007A7779"/>
    <w:rsid w:val="007B0A41"/>
    <w:rsid w:val="007B1354"/>
    <w:rsid w:val="007B284E"/>
    <w:rsid w:val="007B2E17"/>
    <w:rsid w:val="007B4A20"/>
    <w:rsid w:val="007B4BC9"/>
    <w:rsid w:val="007B4D7B"/>
    <w:rsid w:val="007B674F"/>
    <w:rsid w:val="007B7169"/>
    <w:rsid w:val="007C1B66"/>
    <w:rsid w:val="007C3845"/>
    <w:rsid w:val="007C574A"/>
    <w:rsid w:val="007C64D7"/>
    <w:rsid w:val="007C6751"/>
    <w:rsid w:val="007C69E3"/>
    <w:rsid w:val="007C6FC0"/>
    <w:rsid w:val="007C7A14"/>
    <w:rsid w:val="007D0529"/>
    <w:rsid w:val="007D180F"/>
    <w:rsid w:val="007D367B"/>
    <w:rsid w:val="007D49FC"/>
    <w:rsid w:val="007D4A1C"/>
    <w:rsid w:val="007D56C3"/>
    <w:rsid w:val="007D5E5E"/>
    <w:rsid w:val="007D6E44"/>
    <w:rsid w:val="007D7F77"/>
    <w:rsid w:val="007E0109"/>
    <w:rsid w:val="007E04A9"/>
    <w:rsid w:val="007E12AB"/>
    <w:rsid w:val="007E25FF"/>
    <w:rsid w:val="007E3196"/>
    <w:rsid w:val="007E52E9"/>
    <w:rsid w:val="007F01FA"/>
    <w:rsid w:val="007F02D5"/>
    <w:rsid w:val="007F059D"/>
    <w:rsid w:val="007F1935"/>
    <w:rsid w:val="007F1DF4"/>
    <w:rsid w:val="007F254E"/>
    <w:rsid w:val="007F3851"/>
    <w:rsid w:val="007F3CFB"/>
    <w:rsid w:val="007F3E71"/>
    <w:rsid w:val="007F4A0C"/>
    <w:rsid w:val="007F638B"/>
    <w:rsid w:val="007F6E76"/>
    <w:rsid w:val="00801C94"/>
    <w:rsid w:val="008034C8"/>
    <w:rsid w:val="008052DB"/>
    <w:rsid w:val="00810C75"/>
    <w:rsid w:val="00810F1F"/>
    <w:rsid w:val="008123DA"/>
    <w:rsid w:val="0081282E"/>
    <w:rsid w:val="00813188"/>
    <w:rsid w:val="0082014D"/>
    <w:rsid w:val="008205E6"/>
    <w:rsid w:val="0082080B"/>
    <w:rsid w:val="00820B4D"/>
    <w:rsid w:val="00820D47"/>
    <w:rsid w:val="00821D64"/>
    <w:rsid w:val="008242BF"/>
    <w:rsid w:val="0082501C"/>
    <w:rsid w:val="008266F2"/>
    <w:rsid w:val="00826E21"/>
    <w:rsid w:val="008316A2"/>
    <w:rsid w:val="00832C88"/>
    <w:rsid w:val="008334FA"/>
    <w:rsid w:val="008338E1"/>
    <w:rsid w:val="008339EB"/>
    <w:rsid w:val="00834711"/>
    <w:rsid w:val="00834DFC"/>
    <w:rsid w:val="00836362"/>
    <w:rsid w:val="00836CEC"/>
    <w:rsid w:val="00836F57"/>
    <w:rsid w:val="00837399"/>
    <w:rsid w:val="008428F5"/>
    <w:rsid w:val="00842FD9"/>
    <w:rsid w:val="008440F1"/>
    <w:rsid w:val="008463A8"/>
    <w:rsid w:val="008466AE"/>
    <w:rsid w:val="00847119"/>
    <w:rsid w:val="00847D25"/>
    <w:rsid w:val="008511C1"/>
    <w:rsid w:val="00852AB3"/>
    <w:rsid w:val="00852D85"/>
    <w:rsid w:val="00852F99"/>
    <w:rsid w:val="0085330D"/>
    <w:rsid w:val="00853D5C"/>
    <w:rsid w:val="00856234"/>
    <w:rsid w:val="00856E04"/>
    <w:rsid w:val="00860804"/>
    <w:rsid w:val="00860D03"/>
    <w:rsid w:val="00861900"/>
    <w:rsid w:val="00863396"/>
    <w:rsid w:val="008639A5"/>
    <w:rsid w:val="008655B4"/>
    <w:rsid w:val="0086619D"/>
    <w:rsid w:val="008663E1"/>
    <w:rsid w:val="00866B33"/>
    <w:rsid w:val="00867385"/>
    <w:rsid w:val="00867EC9"/>
    <w:rsid w:val="00872154"/>
    <w:rsid w:val="00872D7E"/>
    <w:rsid w:val="00872E40"/>
    <w:rsid w:val="008761D9"/>
    <w:rsid w:val="00881542"/>
    <w:rsid w:val="008830E4"/>
    <w:rsid w:val="00883D6D"/>
    <w:rsid w:val="00884605"/>
    <w:rsid w:val="0088680B"/>
    <w:rsid w:val="00886CEE"/>
    <w:rsid w:val="00890931"/>
    <w:rsid w:val="00891258"/>
    <w:rsid w:val="008915CB"/>
    <w:rsid w:val="0089214D"/>
    <w:rsid w:val="008925D7"/>
    <w:rsid w:val="008932F7"/>
    <w:rsid w:val="0089602B"/>
    <w:rsid w:val="00897868"/>
    <w:rsid w:val="008A07B1"/>
    <w:rsid w:val="008A1EDA"/>
    <w:rsid w:val="008A2251"/>
    <w:rsid w:val="008A3278"/>
    <w:rsid w:val="008A462D"/>
    <w:rsid w:val="008A48CF"/>
    <w:rsid w:val="008A5B00"/>
    <w:rsid w:val="008A657B"/>
    <w:rsid w:val="008A6B56"/>
    <w:rsid w:val="008A7E37"/>
    <w:rsid w:val="008B072D"/>
    <w:rsid w:val="008B1380"/>
    <w:rsid w:val="008B257D"/>
    <w:rsid w:val="008B30AF"/>
    <w:rsid w:val="008B3719"/>
    <w:rsid w:val="008B3DAF"/>
    <w:rsid w:val="008B42D0"/>
    <w:rsid w:val="008B48B2"/>
    <w:rsid w:val="008B5D7C"/>
    <w:rsid w:val="008B6B01"/>
    <w:rsid w:val="008B6BC4"/>
    <w:rsid w:val="008B7106"/>
    <w:rsid w:val="008B744A"/>
    <w:rsid w:val="008B753E"/>
    <w:rsid w:val="008C14D6"/>
    <w:rsid w:val="008C1EAB"/>
    <w:rsid w:val="008C38DB"/>
    <w:rsid w:val="008C4489"/>
    <w:rsid w:val="008C47D3"/>
    <w:rsid w:val="008C54EC"/>
    <w:rsid w:val="008C6AF4"/>
    <w:rsid w:val="008D0992"/>
    <w:rsid w:val="008D1407"/>
    <w:rsid w:val="008D3B13"/>
    <w:rsid w:val="008D3C13"/>
    <w:rsid w:val="008D57F1"/>
    <w:rsid w:val="008D788F"/>
    <w:rsid w:val="008D7A6C"/>
    <w:rsid w:val="008E0513"/>
    <w:rsid w:val="008E0A0C"/>
    <w:rsid w:val="008E23A9"/>
    <w:rsid w:val="008E39C7"/>
    <w:rsid w:val="008E4A08"/>
    <w:rsid w:val="008F0377"/>
    <w:rsid w:val="008F1A2A"/>
    <w:rsid w:val="008F1B8E"/>
    <w:rsid w:val="008F29C0"/>
    <w:rsid w:val="008F2AF3"/>
    <w:rsid w:val="008F6060"/>
    <w:rsid w:val="008F691B"/>
    <w:rsid w:val="00900F49"/>
    <w:rsid w:val="009012BB"/>
    <w:rsid w:val="00902631"/>
    <w:rsid w:val="00902AB7"/>
    <w:rsid w:val="00903361"/>
    <w:rsid w:val="00903700"/>
    <w:rsid w:val="00904792"/>
    <w:rsid w:val="009054B0"/>
    <w:rsid w:val="00905FB6"/>
    <w:rsid w:val="009062C8"/>
    <w:rsid w:val="009069EC"/>
    <w:rsid w:val="009070C3"/>
    <w:rsid w:val="009105AB"/>
    <w:rsid w:val="00912C4B"/>
    <w:rsid w:val="00913031"/>
    <w:rsid w:val="00913244"/>
    <w:rsid w:val="00913E98"/>
    <w:rsid w:val="009144C3"/>
    <w:rsid w:val="00914EBD"/>
    <w:rsid w:val="00915451"/>
    <w:rsid w:val="00915723"/>
    <w:rsid w:val="00915A06"/>
    <w:rsid w:val="00915E5F"/>
    <w:rsid w:val="00916F15"/>
    <w:rsid w:val="00917F1F"/>
    <w:rsid w:val="00917F7E"/>
    <w:rsid w:val="0092040B"/>
    <w:rsid w:val="009223A9"/>
    <w:rsid w:val="0092460D"/>
    <w:rsid w:val="0092639F"/>
    <w:rsid w:val="00926C9D"/>
    <w:rsid w:val="00926DCC"/>
    <w:rsid w:val="00927324"/>
    <w:rsid w:val="00927B9F"/>
    <w:rsid w:val="009314A1"/>
    <w:rsid w:val="009338E6"/>
    <w:rsid w:val="00935F8B"/>
    <w:rsid w:val="0093722C"/>
    <w:rsid w:val="00940F4D"/>
    <w:rsid w:val="00942DC3"/>
    <w:rsid w:val="00943F2E"/>
    <w:rsid w:val="00944CA6"/>
    <w:rsid w:val="00944EB5"/>
    <w:rsid w:val="0094579A"/>
    <w:rsid w:val="0094593E"/>
    <w:rsid w:val="00946F81"/>
    <w:rsid w:val="0095104C"/>
    <w:rsid w:val="00951D3F"/>
    <w:rsid w:val="00951F4D"/>
    <w:rsid w:val="00952992"/>
    <w:rsid w:val="009535D2"/>
    <w:rsid w:val="00953E11"/>
    <w:rsid w:val="0095588D"/>
    <w:rsid w:val="009558F4"/>
    <w:rsid w:val="00955937"/>
    <w:rsid w:val="0095634A"/>
    <w:rsid w:val="0095685E"/>
    <w:rsid w:val="00957BE4"/>
    <w:rsid w:val="00963111"/>
    <w:rsid w:val="009636D7"/>
    <w:rsid w:val="00963AF9"/>
    <w:rsid w:val="009711E0"/>
    <w:rsid w:val="00971ED2"/>
    <w:rsid w:val="009741BC"/>
    <w:rsid w:val="00974314"/>
    <w:rsid w:val="00974A2F"/>
    <w:rsid w:val="0097535D"/>
    <w:rsid w:val="00980220"/>
    <w:rsid w:val="00980D6A"/>
    <w:rsid w:val="00982897"/>
    <w:rsid w:val="009836FC"/>
    <w:rsid w:val="00983FBF"/>
    <w:rsid w:val="00985B00"/>
    <w:rsid w:val="009870DB"/>
    <w:rsid w:val="0098797B"/>
    <w:rsid w:val="00991537"/>
    <w:rsid w:val="00992245"/>
    <w:rsid w:val="009927D2"/>
    <w:rsid w:val="00993870"/>
    <w:rsid w:val="00993F3A"/>
    <w:rsid w:val="009952E0"/>
    <w:rsid w:val="00995EED"/>
    <w:rsid w:val="009A1132"/>
    <w:rsid w:val="009A31CC"/>
    <w:rsid w:val="009A55EF"/>
    <w:rsid w:val="009A5B0E"/>
    <w:rsid w:val="009A66F7"/>
    <w:rsid w:val="009A7CF7"/>
    <w:rsid w:val="009B0349"/>
    <w:rsid w:val="009B1A9C"/>
    <w:rsid w:val="009B1ED1"/>
    <w:rsid w:val="009B235A"/>
    <w:rsid w:val="009B285F"/>
    <w:rsid w:val="009B2FCB"/>
    <w:rsid w:val="009B4E9F"/>
    <w:rsid w:val="009B5B1F"/>
    <w:rsid w:val="009C0223"/>
    <w:rsid w:val="009C0F68"/>
    <w:rsid w:val="009C0F74"/>
    <w:rsid w:val="009C1978"/>
    <w:rsid w:val="009C4848"/>
    <w:rsid w:val="009C65CE"/>
    <w:rsid w:val="009C6839"/>
    <w:rsid w:val="009C7032"/>
    <w:rsid w:val="009C7C6E"/>
    <w:rsid w:val="009D1C61"/>
    <w:rsid w:val="009D244A"/>
    <w:rsid w:val="009D391B"/>
    <w:rsid w:val="009D3D80"/>
    <w:rsid w:val="009D425E"/>
    <w:rsid w:val="009D4528"/>
    <w:rsid w:val="009D45AE"/>
    <w:rsid w:val="009D7C8B"/>
    <w:rsid w:val="009E06A0"/>
    <w:rsid w:val="009E08E6"/>
    <w:rsid w:val="009E334E"/>
    <w:rsid w:val="009E43C6"/>
    <w:rsid w:val="009E45D3"/>
    <w:rsid w:val="009E4EE4"/>
    <w:rsid w:val="009E515D"/>
    <w:rsid w:val="009E538F"/>
    <w:rsid w:val="009E54F8"/>
    <w:rsid w:val="009E7B03"/>
    <w:rsid w:val="009F19B2"/>
    <w:rsid w:val="009F1CDA"/>
    <w:rsid w:val="009F32BD"/>
    <w:rsid w:val="009F3315"/>
    <w:rsid w:val="009F393F"/>
    <w:rsid w:val="009F4C7C"/>
    <w:rsid w:val="009F5E78"/>
    <w:rsid w:val="009F609A"/>
    <w:rsid w:val="009F6B6A"/>
    <w:rsid w:val="00A00611"/>
    <w:rsid w:val="00A00F09"/>
    <w:rsid w:val="00A0188A"/>
    <w:rsid w:val="00A02AD1"/>
    <w:rsid w:val="00A04DDA"/>
    <w:rsid w:val="00A0771B"/>
    <w:rsid w:val="00A07744"/>
    <w:rsid w:val="00A10872"/>
    <w:rsid w:val="00A132E9"/>
    <w:rsid w:val="00A135B7"/>
    <w:rsid w:val="00A14453"/>
    <w:rsid w:val="00A145F2"/>
    <w:rsid w:val="00A16322"/>
    <w:rsid w:val="00A16ABB"/>
    <w:rsid w:val="00A16C7E"/>
    <w:rsid w:val="00A171F6"/>
    <w:rsid w:val="00A17398"/>
    <w:rsid w:val="00A2051E"/>
    <w:rsid w:val="00A20778"/>
    <w:rsid w:val="00A229D8"/>
    <w:rsid w:val="00A22A7B"/>
    <w:rsid w:val="00A25AC7"/>
    <w:rsid w:val="00A25ACC"/>
    <w:rsid w:val="00A27A0E"/>
    <w:rsid w:val="00A27D9B"/>
    <w:rsid w:val="00A31271"/>
    <w:rsid w:val="00A319C3"/>
    <w:rsid w:val="00A3280C"/>
    <w:rsid w:val="00A32868"/>
    <w:rsid w:val="00A33941"/>
    <w:rsid w:val="00A33ABA"/>
    <w:rsid w:val="00A36971"/>
    <w:rsid w:val="00A370D3"/>
    <w:rsid w:val="00A374FD"/>
    <w:rsid w:val="00A37D11"/>
    <w:rsid w:val="00A40907"/>
    <w:rsid w:val="00A43206"/>
    <w:rsid w:val="00A43936"/>
    <w:rsid w:val="00A43BEF"/>
    <w:rsid w:val="00A43C5F"/>
    <w:rsid w:val="00A446C3"/>
    <w:rsid w:val="00A46ABC"/>
    <w:rsid w:val="00A50C54"/>
    <w:rsid w:val="00A50D77"/>
    <w:rsid w:val="00A50EC7"/>
    <w:rsid w:val="00A517F6"/>
    <w:rsid w:val="00A51FB4"/>
    <w:rsid w:val="00A52B48"/>
    <w:rsid w:val="00A52D06"/>
    <w:rsid w:val="00A5311C"/>
    <w:rsid w:val="00A537A7"/>
    <w:rsid w:val="00A546F5"/>
    <w:rsid w:val="00A54B61"/>
    <w:rsid w:val="00A5627A"/>
    <w:rsid w:val="00A56BAD"/>
    <w:rsid w:val="00A56CA7"/>
    <w:rsid w:val="00A5715C"/>
    <w:rsid w:val="00A60950"/>
    <w:rsid w:val="00A61CF8"/>
    <w:rsid w:val="00A62560"/>
    <w:rsid w:val="00A63B8A"/>
    <w:rsid w:val="00A64352"/>
    <w:rsid w:val="00A6563E"/>
    <w:rsid w:val="00A66718"/>
    <w:rsid w:val="00A67416"/>
    <w:rsid w:val="00A67C51"/>
    <w:rsid w:val="00A67E05"/>
    <w:rsid w:val="00A721B1"/>
    <w:rsid w:val="00A7223A"/>
    <w:rsid w:val="00A739BB"/>
    <w:rsid w:val="00A76AFC"/>
    <w:rsid w:val="00A8027E"/>
    <w:rsid w:val="00A80404"/>
    <w:rsid w:val="00A827CE"/>
    <w:rsid w:val="00A844D0"/>
    <w:rsid w:val="00A85BE1"/>
    <w:rsid w:val="00A865D7"/>
    <w:rsid w:val="00A904D0"/>
    <w:rsid w:val="00A91EF5"/>
    <w:rsid w:val="00A92CB1"/>
    <w:rsid w:val="00A97367"/>
    <w:rsid w:val="00AA02B2"/>
    <w:rsid w:val="00AA086A"/>
    <w:rsid w:val="00AA1455"/>
    <w:rsid w:val="00AA1FEC"/>
    <w:rsid w:val="00AA2437"/>
    <w:rsid w:val="00AA2C60"/>
    <w:rsid w:val="00AA4688"/>
    <w:rsid w:val="00AA5C44"/>
    <w:rsid w:val="00AB0692"/>
    <w:rsid w:val="00AB0DAB"/>
    <w:rsid w:val="00AB4271"/>
    <w:rsid w:val="00AB6D45"/>
    <w:rsid w:val="00AC0746"/>
    <w:rsid w:val="00AC0B7F"/>
    <w:rsid w:val="00AC439A"/>
    <w:rsid w:val="00AC4BD5"/>
    <w:rsid w:val="00AC53E8"/>
    <w:rsid w:val="00AC6714"/>
    <w:rsid w:val="00AD07C0"/>
    <w:rsid w:val="00AD09E9"/>
    <w:rsid w:val="00AD0A90"/>
    <w:rsid w:val="00AD0C47"/>
    <w:rsid w:val="00AD13B0"/>
    <w:rsid w:val="00AD1595"/>
    <w:rsid w:val="00AD15AE"/>
    <w:rsid w:val="00AD1754"/>
    <w:rsid w:val="00AD288D"/>
    <w:rsid w:val="00AD440D"/>
    <w:rsid w:val="00AD4508"/>
    <w:rsid w:val="00AD4998"/>
    <w:rsid w:val="00AD4AC5"/>
    <w:rsid w:val="00AD60D7"/>
    <w:rsid w:val="00AD649E"/>
    <w:rsid w:val="00AD6BF7"/>
    <w:rsid w:val="00AD6ECE"/>
    <w:rsid w:val="00AD7C09"/>
    <w:rsid w:val="00AE09EA"/>
    <w:rsid w:val="00AE0F11"/>
    <w:rsid w:val="00AE26CE"/>
    <w:rsid w:val="00AE2D46"/>
    <w:rsid w:val="00AE3506"/>
    <w:rsid w:val="00AE6675"/>
    <w:rsid w:val="00AE6732"/>
    <w:rsid w:val="00AE69AA"/>
    <w:rsid w:val="00AF055F"/>
    <w:rsid w:val="00AF1259"/>
    <w:rsid w:val="00AF4AA0"/>
    <w:rsid w:val="00AF605A"/>
    <w:rsid w:val="00B00B60"/>
    <w:rsid w:val="00B01CB7"/>
    <w:rsid w:val="00B01D42"/>
    <w:rsid w:val="00B02B1D"/>
    <w:rsid w:val="00B03B30"/>
    <w:rsid w:val="00B03DA5"/>
    <w:rsid w:val="00B07680"/>
    <w:rsid w:val="00B07CF4"/>
    <w:rsid w:val="00B10544"/>
    <w:rsid w:val="00B11916"/>
    <w:rsid w:val="00B12E0E"/>
    <w:rsid w:val="00B13F22"/>
    <w:rsid w:val="00B148C0"/>
    <w:rsid w:val="00B14C63"/>
    <w:rsid w:val="00B15AA3"/>
    <w:rsid w:val="00B16168"/>
    <w:rsid w:val="00B2093C"/>
    <w:rsid w:val="00B23EC1"/>
    <w:rsid w:val="00B24722"/>
    <w:rsid w:val="00B24972"/>
    <w:rsid w:val="00B25100"/>
    <w:rsid w:val="00B2684C"/>
    <w:rsid w:val="00B26B7B"/>
    <w:rsid w:val="00B30D19"/>
    <w:rsid w:val="00B312F0"/>
    <w:rsid w:val="00B31384"/>
    <w:rsid w:val="00B31F84"/>
    <w:rsid w:val="00B323BD"/>
    <w:rsid w:val="00B3328A"/>
    <w:rsid w:val="00B33646"/>
    <w:rsid w:val="00B342F1"/>
    <w:rsid w:val="00B3451E"/>
    <w:rsid w:val="00B3643D"/>
    <w:rsid w:val="00B36812"/>
    <w:rsid w:val="00B36998"/>
    <w:rsid w:val="00B4094B"/>
    <w:rsid w:val="00B40BCC"/>
    <w:rsid w:val="00B40D2B"/>
    <w:rsid w:val="00B42CB5"/>
    <w:rsid w:val="00B42E14"/>
    <w:rsid w:val="00B432BA"/>
    <w:rsid w:val="00B442E7"/>
    <w:rsid w:val="00B44A0F"/>
    <w:rsid w:val="00B46DA6"/>
    <w:rsid w:val="00B50442"/>
    <w:rsid w:val="00B50EF4"/>
    <w:rsid w:val="00B5118F"/>
    <w:rsid w:val="00B5329C"/>
    <w:rsid w:val="00B533DF"/>
    <w:rsid w:val="00B542DE"/>
    <w:rsid w:val="00B556A0"/>
    <w:rsid w:val="00B568C7"/>
    <w:rsid w:val="00B56D1A"/>
    <w:rsid w:val="00B57FC0"/>
    <w:rsid w:val="00B61925"/>
    <w:rsid w:val="00B62299"/>
    <w:rsid w:val="00B633ED"/>
    <w:rsid w:val="00B63A35"/>
    <w:rsid w:val="00B63DD0"/>
    <w:rsid w:val="00B644AF"/>
    <w:rsid w:val="00B671CC"/>
    <w:rsid w:val="00B675E9"/>
    <w:rsid w:val="00B70027"/>
    <w:rsid w:val="00B710C3"/>
    <w:rsid w:val="00B71409"/>
    <w:rsid w:val="00B715BD"/>
    <w:rsid w:val="00B754E1"/>
    <w:rsid w:val="00B75EA7"/>
    <w:rsid w:val="00B761DF"/>
    <w:rsid w:val="00B765A5"/>
    <w:rsid w:val="00B76E59"/>
    <w:rsid w:val="00B7717B"/>
    <w:rsid w:val="00B772CF"/>
    <w:rsid w:val="00B80C27"/>
    <w:rsid w:val="00B81D90"/>
    <w:rsid w:val="00B82808"/>
    <w:rsid w:val="00B82D53"/>
    <w:rsid w:val="00B82EDE"/>
    <w:rsid w:val="00B83300"/>
    <w:rsid w:val="00B835D1"/>
    <w:rsid w:val="00B83C4F"/>
    <w:rsid w:val="00B868B3"/>
    <w:rsid w:val="00B90C62"/>
    <w:rsid w:val="00B91F79"/>
    <w:rsid w:val="00B92844"/>
    <w:rsid w:val="00B9651E"/>
    <w:rsid w:val="00B9658B"/>
    <w:rsid w:val="00B97030"/>
    <w:rsid w:val="00B97387"/>
    <w:rsid w:val="00BA1A1B"/>
    <w:rsid w:val="00BA3094"/>
    <w:rsid w:val="00BA3717"/>
    <w:rsid w:val="00BA3F59"/>
    <w:rsid w:val="00BA47F3"/>
    <w:rsid w:val="00BA71F4"/>
    <w:rsid w:val="00BB0BFF"/>
    <w:rsid w:val="00BB1189"/>
    <w:rsid w:val="00BB15B0"/>
    <w:rsid w:val="00BB2BE9"/>
    <w:rsid w:val="00BB2FD7"/>
    <w:rsid w:val="00BB3543"/>
    <w:rsid w:val="00BB3CDF"/>
    <w:rsid w:val="00BB4232"/>
    <w:rsid w:val="00BC3EF7"/>
    <w:rsid w:val="00BC4B07"/>
    <w:rsid w:val="00BC75B6"/>
    <w:rsid w:val="00BD1DF7"/>
    <w:rsid w:val="00BD41FC"/>
    <w:rsid w:val="00BD41FD"/>
    <w:rsid w:val="00BD53F0"/>
    <w:rsid w:val="00BD56D3"/>
    <w:rsid w:val="00BD6B04"/>
    <w:rsid w:val="00BE094E"/>
    <w:rsid w:val="00BE1170"/>
    <w:rsid w:val="00BE15CA"/>
    <w:rsid w:val="00BE28DF"/>
    <w:rsid w:val="00BE3D45"/>
    <w:rsid w:val="00BE4016"/>
    <w:rsid w:val="00BE5A1E"/>
    <w:rsid w:val="00BE5DAE"/>
    <w:rsid w:val="00BF0A92"/>
    <w:rsid w:val="00BF1EAB"/>
    <w:rsid w:val="00BF3535"/>
    <w:rsid w:val="00BF3590"/>
    <w:rsid w:val="00BF500F"/>
    <w:rsid w:val="00BF5D8A"/>
    <w:rsid w:val="00BF7765"/>
    <w:rsid w:val="00BF7F0B"/>
    <w:rsid w:val="00C00EB9"/>
    <w:rsid w:val="00C017C9"/>
    <w:rsid w:val="00C02356"/>
    <w:rsid w:val="00C02A59"/>
    <w:rsid w:val="00C04BE7"/>
    <w:rsid w:val="00C079FA"/>
    <w:rsid w:val="00C11BB3"/>
    <w:rsid w:val="00C11C81"/>
    <w:rsid w:val="00C12627"/>
    <w:rsid w:val="00C13343"/>
    <w:rsid w:val="00C13EDC"/>
    <w:rsid w:val="00C13F03"/>
    <w:rsid w:val="00C168BD"/>
    <w:rsid w:val="00C17057"/>
    <w:rsid w:val="00C1719B"/>
    <w:rsid w:val="00C1750A"/>
    <w:rsid w:val="00C2074A"/>
    <w:rsid w:val="00C21399"/>
    <w:rsid w:val="00C2180F"/>
    <w:rsid w:val="00C21E03"/>
    <w:rsid w:val="00C22133"/>
    <w:rsid w:val="00C22A2A"/>
    <w:rsid w:val="00C22D61"/>
    <w:rsid w:val="00C234C9"/>
    <w:rsid w:val="00C237C9"/>
    <w:rsid w:val="00C24582"/>
    <w:rsid w:val="00C2522C"/>
    <w:rsid w:val="00C25989"/>
    <w:rsid w:val="00C25A6A"/>
    <w:rsid w:val="00C26174"/>
    <w:rsid w:val="00C279A6"/>
    <w:rsid w:val="00C27A55"/>
    <w:rsid w:val="00C3200C"/>
    <w:rsid w:val="00C3226E"/>
    <w:rsid w:val="00C32EB8"/>
    <w:rsid w:val="00C3437B"/>
    <w:rsid w:val="00C34405"/>
    <w:rsid w:val="00C35E31"/>
    <w:rsid w:val="00C36859"/>
    <w:rsid w:val="00C400DD"/>
    <w:rsid w:val="00C40767"/>
    <w:rsid w:val="00C41692"/>
    <w:rsid w:val="00C41B19"/>
    <w:rsid w:val="00C427B7"/>
    <w:rsid w:val="00C42C7E"/>
    <w:rsid w:val="00C46EBC"/>
    <w:rsid w:val="00C4756B"/>
    <w:rsid w:val="00C47B2D"/>
    <w:rsid w:val="00C502C5"/>
    <w:rsid w:val="00C5060F"/>
    <w:rsid w:val="00C50CE9"/>
    <w:rsid w:val="00C5114E"/>
    <w:rsid w:val="00C51CFD"/>
    <w:rsid w:val="00C53FD4"/>
    <w:rsid w:val="00C54241"/>
    <w:rsid w:val="00C542ED"/>
    <w:rsid w:val="00C55762"/>
    <w:rsid w:val="00C609D6"/>
    <w:rsid w:val="00C60DA5"/>
    <w:rsid w:val="00C60F32"/>
    <w:rsid w:val="00C62B35"/>
    <w:rsid w:val="00C63344"/>
    <w:rsid w:val="00C63E89"/>
    <w:rsid w:val="00C6545E"/>
    <w:rsid w:val="00C71CF1"/>
    <w:rsid w:val="00C71FB6"/>
    <w:rsid w:val="00C71FBB"/>
    <w:rsid w:val="00C72461"/>
    <w:rsid w:val="00C7450B"/>
    <w:rsid w:val="00C7476C"/>
    <w:rsid w:val="00C76111"/>
    <w:rsid w:val="00C81F4D"/>
    <w:rsid w:val="00C8263F"/>
    <w:rsid w:val="00C86C4D"/>
    <w:rsid w:val="00C87203"/>
    <w:rsid w:val="00C90DB7"/>
    <w:rsid w:val="00C93B1A"/>
    <w:rsid w:val="00C948B0"/>
    <w:rsid w:val="00C94D93"/>
    <w:rsid w:val="00C95565"/>
    <w:rsid w:val="00C96348"/>
    <w:rsid w:val="00C969F7"/>
    <w:rsid w:val="00CA0A97"/>
    <w:rsid w:val="00CA1067"/>
    <w:rsid w:val="00CA1ECF"/>
    <w:rsid w:val="00CA3AE2"/>
    <w:rsid w:val="00CA3CB3"/>
    <w:rsid w:val="00CA459D"/>
    <w:rsid w:val="00CA56BB"/>
    <w:rsid w:val="00CA70B4"/>
    <w:rsid w:val="00CB1405"/>
    <w:rsid w:val="00CB2E33"/>
    <w:rsid w:val="00CB3100"/>
    <w:rsid w:val="00CB44D9"/>
    <w:rsid w:val="00CB4A01"/>
    <w:rsid w:val="00CB4FAF"/>
    <w:rsid w:val="00CB55FA"/>
    <w:rsid w:val="00CB6CAF"/>
    <w:rsid w:val="00CB6F75"/>
    <w:rsid w:val="00CB74F7"/>
    <w:rsid w:val="00CC2AC3"/>
    <w:rsid w:val="00CC4BA1"/>
    <w:rsid w:val="00CC6AD7"/>
    <w:rsid w:val="00CC6F36"/>
    <w:rsid w:val="00CC7BB4"/>
    <w:rsid w:val="00CD02EF"/>
    <w:rsid w:val="00CD1616"/>
    <w:rsid w:val="00CD1E66"/>
    <w:rsid w:val="00CD2A17"/>
    <w:rsid w:val="00CD2EAF"/>
    <w:rsid w:val="00CD35CA"/>
    <w:rsid w:val="00CD50F8"/>
    <w:rsid w:val="00CD52F0"/>
    <w:rsid w:val="00CD6135"/>
    <w:rsid w:val="00CD724D"/>
    <w:rsid w:val="00CD79E8"/>
    <w:rsid w:val="00CD7A9A"/>
    <w:rsid w:val="00CE091F"/>
    <w:rsid w:val="00CE0C06"/>
    <w:rsid w:val="00CE12F9"/>
    <w:rsid w:val="00CE3353"/>
    <w:rsid w:val="00CE4944"/>
    <w:rsid w:val="00CE5D22"/>
    <w:rsid w:val="00CE6A0F"/>
    <w:rsid w:val="00CE73CB"/>
    <w:rsid w:val="00CF01A6"/>
    <w:rsid w:val="00CF2A1D"/>
    <w:rsid w:val="00CF2C47"/>
    <w:rsid w:val="00CF3946"/>
    <w:rsid w:val="00CF7BD2"/>
    <w:rsid w:val="00D0044D"/>
    <w:rsid w:val="00D01653"/>
    <w:rsid w:val="00D0169E"/>
    <w:rsid w:val="00D0256D"/>
    <w:rsid w:val="00D03641"/>
    <w:rsid w:val="00D05B6A"/>
    <w:rsid w:val="00D05C56"/>
    <w:rsid w:val="00D06284"/>
    <w:rsid w:val="00D0696D"/>
    <w:rsid w:val="00D06E22"/>
    <w:rsid w:val="00D1008A"/>
    <w:rsid w:val="00D1094D"/>
    <w:rsid w:val="00D11380"/>
    <w:rsid w:val="00D113FB"/>
    <w:rsid w:val="00D11459"/>
    <w:rsid w:val="00D123F6"/>
    <w:rsid w:val="00D12D4C"/>
    <w:rsid w:val="00D1356B"/>
    <w:rsid w:val="00D13D1C"/>
    <w:rsid w:val="00D149A6"/>
    <w:rsid w:val="00D16668"/>
    <w:rsid w:val="00D16A1B"/>
    <w:rsid w:val="00D20B19"/>
    <w:rsid w:val="00D216F0"/>
    <w:rsid w:val="00D2264D"/>
    <w:rsid w:val="00D23A18"/>
    <w:rsid w:val="00D24512"/>
    <w:rsid w:val="00D300FC"/>
    <w:rsid w:val="00D314D1"/>
    <w:rsid w:val="00D32573"/>
    <w:rsid w:val="00D34410"/>
    <w:rsid w:val="00D35970"/>
    <w:rsid w:val="00D36A5B"/>
    <w:rsid w:val="00D36C91"/>
    <w:rsid w:val="00D40934"/>
    <w:rsid w:val="00D4166A"/>
    <w:rsid w:val="00D41A0C"/>
    <w:rsid w:val="00D41F36"/>
    <w:rsid w:val="00D42F83"/>
    <w:rsid w:val="00D43704"/>
    <w:rsid w:val="00D44039"/>
    <w:rsid w:val="00D44CFB"/>
    <w:rsid w:val="00D453B9"/>
    <w:rsid w:val="00D466B2"/>
    <w:rsid w:val="00D52926"/>
    <w:rsid w:val="00D52FCD"/>
    <w:rsid w:val="00D53366"/>
    <w:rsid w:val="00D54EC0"/>
    <w:rsid w:val="00D5543A"/>
    <w:rsid w:val="00D554AD"/>
    <w:rsid w:val="00D558CC"/>
    <w:rsid w:val="00D565C2"/>
    <w:rsid w:val="00D56C01"/>
    <w:rsid w:val="00D5754D"/>
    <w:rsid w:val="00D57E1A"/>
    <w:rsid w:val="00D6437F"/>
    <w:rsid w:val="00D64FCC"/>
    <w:rsid w:val="00D70CC6"/>
    <w:rsid w:val="00D70E44"/>
    <w:rsid w:val="00D72763"/>
    <w:rsid w:val="00D73F51"/>
    <w:rsid w:val="00D74268"/>
    <w:rsid w:val="00D7439F"/>
    <w:rsid w:val="00D74CFC"/>
    <w:rsid w:val="00D7508A"/>
    <w:rsid w:val="00D76239"/>
    <w:rsid w:val="00D775D5"/>
    <w:rsid w:val="00D8338A"/>
    <w:rsid w:val="00D83522"/>
    <w:rsid w:val="00D83CDB"/>
    <w:rsid w:val="00D85022"/>
    <w:rsid w:val="00D85D46"/>
    <w:rsid w:val="00D860B5"/>
    <w:rsid w:val="00D8752B"/>
    <w:rsid w:val="00D90B20"/>
    <w:rsid w:val="00D90B79"/>
    <w:rsid w:val="00D912AD"/>
    <w:rsid w:val="00D9182A"/>
    <w:rsid w:val="00D96DF3"/>
    <w:rsid w:val="00D96E03"/>
    <w:rsid w:val="00DA00C3"/>
    <w:rsid w:val="00DA18E3"/>
    <w:rsid w:val="00DA29A4"/>
    <w:rsid w:val="00DA3FFA"/>
    <w:rsid w:val="00DA4F13"/>
    <w:rsid w:val="00DA54D1"/>
    <w:rsid w:val="00DA7F48"/>
    <w:rsid w:val="00DB0CDA"/>
    <w:rsid w:val="00DB167B"/>
    <w:rsid w:val="00DB2BCC"/>
    <w:rsid w:val="00DB549D"/>
    <w:rsid w:val="00DB55A7"/>
    <w:rsid w:val="00DB655A"/>
    <w:rsid w:val="00DB75EC"/>
    <w:rsid w:val="00DB7E49"/>
    <w:rsid w:val="00DC00D3"/>
    <w:rsid w:val="00DC0554"/>
    <w:rsid w:val="00DC3A3E"/>
    <w:rsid w:val="00DC3BEE"/>
    <w:rsid w:val="00DC683D"/>
    <w:rsid w:val="00DD04BF"/>
    <w:rsid w:val="00DD04FB"/>
    <w:rsid w:val="00DD0CD1"/>
    <w:rsid w:val="00DD117B"/>
    <w:rsid w:val="00DD3678"/>
    <w:rsid w:val="00DD3DA1"/>
    <w:rsid w:val="00DD42BD"/>
    <w:rsid w:val="00DD4CD2"/>
    <w:rsid w:val="00DD4D60"/>
    <w:rsid w:val="00DD4DF7"/>
    <w:rsid w:val="00DD5328"/>
    <w:rsid w:val="00DD54B0"/>
    <w:rsid w:val="00DD7235"/>
    <w:rsid w:val="00DD746E"/>
    <w:rsid w:val="00DD7A1D"/>
    <w:rsid w:val="00DE0234"/>
    <w:rsid w:val="00DE2295"/>
    <w:rsid w:val="00DE56A7"/>
    <w:rsid w:val="00DE682A"/>
    <w:rsid w:val="00DE770D"/>
    <w:rsid w:val="00DE7E48"/>
    <w:rsid w:val="00DF02A3"/>
    <w:rsid w:val="00DF0C32"/>
    <w:rsid w:val="00DF2322"/>
    <w:rsid w:val="00DF2F6F"/>
    <w:rsid w:val="00DF3EAE"/>
    <w:rsid w:val="00DF407C"/>
    <w:rsid w:val="00DF5049"/>
    <w:rsid w:val="00DF591D"/>
    <w:rsid w:val="00DF5B8B"/>
    <w:rsid w:val="00DF79A6"/>
    <w:rsid w:val="00DF79BB"/>
    <w:rsid w:val="00E00FF3"/>
    <w:rsid w:val="00E01876"/>
    <w:rsid w:val="00E01F32"/>
    <w:rsid w:val="00E05862"/>
    <w:rsid w:val="00E069A5"/>
    <w:rsid w:val="00E06CA8"/>
    <w:rsid w:val="00E07584"/>
    <w:rsid w:val="00E07A83"/>
    <w:rsid w:val="00E07ABD"/>
    <w:rsid w:val="00E10D2A"/>
    <w:rsid w:val="00E11DA4"/>
    <w:rsid w:val="00E12B18"/>
    <w:rsid w:val="00E155BE"/>
    <w:rsid w:val="00E15FD5"/>
    <w:rsid w:val="00E17805"/>
    <w:rsid w:val="00E21D17"/>
    <w:rsid w:val="00E21DE1"/>
    <w:rsid w:val="00E21F9C"/>
    <w:rsid w:val="00E22CBE"/>
    <w:rsid w:val="00E24461"/>
    <w:rsid w:val="00E269B5"/>
    <w:rsid w:val="00E27396"/>
    <w:rsid w:val="00E275DD"/>
    <w:rsid w:val="00E31904"/>
    <w:rsid w:val="00E367D5"/>
    <w:rsid w:val="00E37403"/>
    <w:rsid w:val="00E40319"/>
    <w:rsid w:val="00E4081A"/>
    <w:rsid w:val="00E40D8F"/>
    <w:rsid w:val="00E41B1E"/>
    <w:rsid w:val="00E420A8"/>
    <w:rsid w:val="00E4378C"/>
    <w:rsid w:val="00E43A6E"/>
    <w:rsid w:val="00E45B01"/>
    <w:rsid w:val="00E46CA7"/>
    <w:rsid w:val="00E50EFA"/>
    <w:rsid w:val="00E5161C"/>
    <w:rsid w:val="00E51AA3"/>
    <w:rsid w:val="00E51BA4"/>
    <w:rsid w:val="00E51EB8"/>
    <w:rsid w:val="00E52111"/>
    <w:rsid w:val="00E52919"/>
    <w:rsid w:val="00E52A58"/>
    <w:rsid w:val="00E53410"/>
    <w:rsid w:val="00E54356"/>
    <w:rsid w:val="00E549F2"/>
    <w:rsid w:val="00E57444"/>
    <w:rsid w:val="00E61107"/>
    <w:rsid w:val="00E615FF"/>
    <w:rsid w:val="00E61A67"/>
    <w:rsid w:val="00E61ADC"/>
    <w:rsid w:val="00E62003"/>
    <w:rsid w:val="00E62B92"/>
    <w:rsid w:val="00E64342"/>
    <w:rsid w:val="00E66734"/>
    <w:rsid w:val="00E711E9"/>
    <w:rsid w:val="00E71FBC"/>
    <w:rsid w:val="00E72DAB"/>
    <w:rsid w:val="00E7370A"/>
    <w:rsid w:val="00E73AAE"/>
    <w:rsid w:val="00E75F7B"/>
    <w:rsid w:val="00E76A7F"/>
    <w:rsid w:val="00E81E3A"/>
    <w:rsid w:val="00E8228F"/>
    <w:rsid w:val="00E839F3"/>
    <w:rsid w:val="00E84E46"/>
    <w:rsid w:val="00E85202"/>
    <w:rsid w:val="00E85945"/>
    <w:rsid w:val="00E85F8F"/>
    <w:rsid w:val="00E87157"/>
    <w:rsid w:val="00E87210"/>
    <w:rsid w:val="00E8783E"/>
    <w:rsid w:val="00E878C6"/>
    <w:rsid w:val="00E87B8A"/>
    <w:rsid w:val="00E907AD"/>
    <w:rsid w:val="00E92BAF"/>
    <w:rsid w:val="00E95554"/>
    <w:rsid w:val="00EA2615"/>
    <w:rsid w:val="00EA2FA7"/>
    <w:rsid w:val="00EA3A1D"/>
    <w:rsid w:val="00EA5357"/>
    <w:rsid w:val="00EA5546"/>
    <w:rsid w:val="00EA6282"/>
    <w:rsid w:val="00EA6837"/>
    <w:rsid w:val="00EA7EF5"/>
    <w:rsid w:val="00EB0B69"/>
    <w:rsid w:val="00EB1A60"/>
    <w:rsid w:val="00EB1C44"/>
    <w:rsid w:val="00EB407A"/>
    <w:rsid w:val="00EB4EE4"/>
    <w:rsid w:val="00EB5A07"/>
    <w:rsid w:val="00EB5A73"/>
    <w:rsid w:val="00EB60D1"/>
    <w:rsid w:val="00EB6174"/>
    <w:rsid w:val="00EB6DD6"/>
    <w:rsid w:val="00EC07EE"/>
    <w:rsid w:val="00EC1827"/>
    <w:rsid w:val="00EC1C9D"/>
    <w:rsid w:val="00EC32C6"/>
    <w:rsid w:val="00EC66FD"/>
    <w:rsid w:val="00EC6F90"/>
    <w:rsid w:val="00EC7D54"/>
    <w:rsid w:val="00ED5234"/>
    <w:rsid w:val="00ED5966"/>
    <w:rsid w:val="00ED648F"/>
    <w:rsid w:val="00ED6CE1"/>
    <w:rsid w:val="00EE03B1"/>
    <w:rsid w:val="00EE12F8"/>
    <w:rsid w:val="00EE3868"/>
    <w:rsid w:val="00EE4396"/>
    <w:rsid w:val="00EE4B21"/>
    <w:rsid w:val="00EE6181"/>
    <w:rsid w:val="00EE7187"/>
    <w:rsid w:val="00EE7CE0"/>
    <w:rsid w:val="00EF0ABC"/>
    <w:rsid w:val="00EF2EC8"/>
    <w:rsid w:val="00EF7A7D"/>
    <w:rsid w:val="00F00070"/>
    <w:rsid w:val="00F02B6F"/>
    <w:rsid w:val="00F04244"/>
    <w:rsid w:val="00F046C7"/>
    <w:rsid w:val="00F05B06"/>
    <w:rsid w:val="00F06BC8"/>
    <w:rsid w:val="00F10A6A"/>
    <w:rsid w:val="00F10BCE"/>
    <w:rsid w:val="00F13ACC"/>
    <w:rsid w:val="00F13BC8"/>
    <w:rsid w:val="00F1430E"/>
    <w:rsid w:val="00F1565A"/>
    <w:rsid w:val="00F15EE8"/>
    <w:rsid w:val="00F21C75"/>
    <w:rsid w:val="00F2244A"/>
    <w:rsid w:val="00F22FA0"/>
    <w:rsid w:val="00F24650"/>
    <w:rsid w:val="00F26FE8"/>
    <w:rsid w:val="00F2714A"/>
    <w:rsid w:val="00F275FC"/>
    <w:rsid w:val="00F27B90"/>
    <w:rsid w:val="00F30FBF"/>
    <w:rsid w:val="00F31A71"/>
    <w:rsid w:val="00F326A6"/>
    <w:rsid w:val="00F339AD"/>
    <w:rsid w:val="00F34203"/>
    <w:rsid w:val="00F34E4B"/>
    <w:rsid w:val="00F34F52"/>
    <w:rsid w:val="00F3511B"/>
    <w:rsid w:val="00F35BB6"/>
    <w:rsid w:val="00F37086"/>
    <w:rsid w:val="00F374CB"/>
    <w:rsid w:val="00F37D3B"/>
    <w:rsid w:val="00F42FFC"/>
    <w:rsid w:val="00F432C4"/>
    <w:rsid w:val="00F45AE9"/>
    <w:rsid w:val="00F50D2D"/>
    <w:rsid w:val="00F510C8"/>
    <w:rsid w:val="00F526A9"/>
    <w:rsid w:val="00F53042"/>
    <w:rsid w:val="00F535C2"/>
    <w:rsid w:val="00F54FAF"/>
    <w:rsid w:val="00F55011"/>
    <w:rsid w:val="00F5746D"/>
    <w:rsid w:val="00F578E2"/>
    <w:rsid w:val="00F60A1A"/>
    <w:rsid w:val="00F60F86"/>
    <w:rsid w:val="00F62ECD"/>
    <w:rsid w:val="00F63B0A"/>
    <w:rsid w:val="00F645BD"/>
    <w:rsid w:val="00F647C8"/>
    <w:rsid w:val="00F6488F"/>
    <w:rsid w:val="00F664E0"/>
    <w:rsid w:val="00F66F79"/>
    <w:rsid w:val="00F6738E"/>
    <w:rsid w:val="00F67F0B"/>
    <w:rsid w:val="00F7013B"/>
    <w:rsid w:val="00F704D4"/>
    <w:rsid w:val="00F7087A"/>
    <w:rsid w:val="00F739DB"/>
    <w:rsid w:val="00F752FB"/>
    <w:rsid w:val="00F753BC"/>
    <w:rsid w:val="00F7595E"/>
    <w:rsid w:val="00F768F1"/>
    <w:rsid w:val="00F76ABC"/>
    <w:rsid w:val="00F7794B"/>
    <w:rsid w:val="00F805D4"/>
    <w:rsid w:val="00F80A42"/>
    <w:rsid w:val="00F8200F"/>
    <w:rsid w:val="00F822D4"/>
    <w:rsid w:val="00F82ECC"/>
    <w:rsid w:val="00F84FCB"/>
    <w:rsid w:val="00F86C79"/>
    <w:rsid w:val="00F8707D"/>
    <w:rsid w:val="00F926FA"/>
    <w:rsid w:val="00F934B9"/>
    <w:rsid w:val="00F957E5"/>
    <w:rsid w:val="00F96B7B"/>
    <w:rsid w:val="00FA0166"/>
    <w:rsid w:val="00FA0FBE"/>
    <w:rsid w:val="00FA125D"/>
    <w:rsid w:val="00FA2176"/>
    <w:rsid w:val="00FA32A4"/>
    <w:rsid w:val="00FA41A2"/>
    <w:rsid w:val="00FA6378"/>
    <w:rsid w:val="00FB067B"/>
    <w:rsid w:val="00FB0816"/>
    <w:rsid w:val="00FB1794"/>
    <w:rsid w:val="00FB196C"/>
    <w:rsid w:val="00FB2110"/>
    <w:rsid w:val="00FB28A0"/>
    <w:rsid w:val="00FB2E55"/>
    <w:rsid w:val="00FB3AE4"/>
    <w:rsid w:val="00FB759C"/>
    <w:rsid w:val="00FC2EBD"/>
    <w:rsid w:val="00FC45EA"/>
    <w:rsid w:val="00FC5037"/>
    <w:rsid w:val="00FC5B7C"/>
    <w:rsid w:val="00FC6149"/>
    <w:rsid w:val="00FC61D8"/>
    <w:rsid w:val="00FC7509"/>
    <w:rsid w:val="00FD0193"/>
    <w:rsid w:val="00FD03EA"/>
    <w:rsid w:val="00FD1CD8"/>
    <w:rsid w:val="00FD25D3"/>
    <w:rsid w:val="00FD2861"/>
    <w:rsid w:val="00FD2A74"/>
    <w:rsid w:val="00FD5EE7"/>
    <w:rsid w:val="00FD7262"/>
    <w:rsid w:val="00FE1AEA"/>
    <w:rsid w:val="00FE1D05"/>
    <w:rsid w:val="00FE26BA"/>
    <w:rsid w:val="00FE26E0"/>
    <w:rsid w:val="00FE3707"/>
    <w:rsid w:val="00FE678E"/>
    <w:rsid w:val="00FE6E09"/>
    <w:rsid w:val="00FF13B4"/>
    <w:rsid w:val="00FF16A3"/>
    <w:rsid w:val="00FF16DD"/>
    <w:rsid w:val="00FF1C40"/>
    <w:rsid w:val="00FF2116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9A113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9A113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132"/>
    <w:pPr>
      <w:tabs>
        <w:tab w:val="center" w:pos="4513"/>
        <w:tab w:val="right" w:pos="9026"/>
      </w:tabs>
    </w:pPr>
    <w:rPr>
      <w:lang w:val="id-ID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A11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9A11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3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A1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1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E73AAE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16</cp:revision>
  <cp:lastPrinted>2018-01-15T03:16:00Z</cp:lastPrinted>
  <dcterms:created xsi:type="dcterms:W3CDTF">2018-01-06T06:07:00Z</dcterms:created>
  <dcterms:modified xsi:type="dcterms:W3CDTF">2018-01-15T03:17:00Z</dcterms:modified>
</cp:coreProperties>
</file>